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0C82" w14:textId="555C2B50" w:rsidR="00AE5ACF" w:rsidRDefault="00AE5ACF" w:rsidP="00AE5ACF">
      <w:pPr>
        <w:jc w:val="center"/>
        <w:rPr>
          <w:b/>
          <w:bCs/>
          <w:sz w:val="28"/>
          <w:szCs w:val="28"/>
        </w:rPr>
      </w:pPr>
      <w:bookmarkStart w:id="0" w:name="_Hlk57280506"/>
      <w:bookmarkEnd w:id="0"/>
    </w:p>
    <w:p w14:paraId="4BF67321" w14:textId="77777777" w:rsidR="00170163" w:rsidRDefault="00170163" w:rsidP="00AE5ACF">
      <w:pPr>
        <w:jc w:val="center"/>
        <w:rPr>
          <w:b/>
          <w:bCs/>
          <w:sz w:val="28"/>
          <w:szCs w:val="28"/>
        </w:rPr>
      </w:pPr>
    </w:p>
    <w:p w14:paraId="1C3D9F4F" w14:textId="77777777" w:rsidR="00AE5ACF" w:rsidRDefault="00AE5ACF" w:rsidP="00AE5ACF">
      <w:pPr>
        <w:pStyle w:val="StyleStyleTitleCMWTitleCenteredLeftLeft1cm"/>
      </w:pPr>
      <w:r w:rsidRPr="00317DE2">
        <w:t>CROMWELL DIRECT</w:t>
      </w:r>
    </w:p>
    <w:p w14:paraId="03156980" w14:textId="77777777" w:rsidR="00AE5ACF" w:rsidRPr="00317DE2" w:rsidRDefault="00AE5ACF" w:rsidP="00AE5ACF">
      <w:pPr>
        <w:pStyle w:val="StyleStyleTitleCMWTitleCenteredLeftLeft1cm"/>
      </w:pPr>
      <w:r w:rsidRPr="00317DE2">
        <w:t>PROPERTY FUND</w:t>
      </w:r>
    </w:p>
    <w:p w14:paraId="677D1822" w14:textId="77777777" w:rsidR="00AE5ACF" w:rsidRPr="00317DE2" w:rsidRDefault="00AE5ACF" w:rsidP="00AE5ACF">
      <w:pPr>
        <w:pStyle w:val="Subtitle"/>
        <w:rPr>
          <w:b w:val="0"/>
        </w:rPr>
      </w:pPr>
      <w:r w:rsidRPr="00317DE2">
        <w:t>SUMMARY OF INFORMATION</w:t>
      </w:r>
    </w:p>
    <w:p w14:paraId="4513B8E1"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r w:rsidRPr="00477E9C">
        <w:rPr>
          <w:b/>
          <w:bCs/>
          <w:color w:val="FF0000"/>
          <w:sz w:val="24"/>
        </w:rPr>
        <w:t>Please note this is NOT a Statement of Advice (</w:t>
      </w:r>
      <w:proofErr w:type="spellStart"/>
      <w:r w:rsidRPr="00477E9C">
        <w:rPr>
          <w:b/>
          <w:bCs/>
          <w:color w:val="FF0000"/>
          <w:sz w:val="24"/>
        </w:rPr>
        <w:t>SoA</w:t>
      </w:r>
      <w:proofErr w:type="spellEnd"/>
      <w:r w:rsidRPr="00477E9C">
        <w:rPr>
          <w:b/>
          <w:bCs/>
          <w:color w:val="FF0000"/>
          <w:sz w:val="24"/>
        </w:rPr>
        <w:t xml:space="preserve">) and should not be used as such.   Rather it contains </w:t>
      </w:r>
      <w:r>
        <w:rPr>
          <w:b/>
          <w:bCs/>
          <w:color w:val="FF0000"/>
          <w:sz w:val="24"/>
        </w:rPr>
        <w:t>information which may assist an advisor to prepare a</w:t>
      </w:r>
      <w:r w:rsidRPr="00477E9C">
        <w:rPr>
          <w:b/>
          <w:bCs/>
          <w:color w:val="FF0000"/>
          <w:sz w:val="24"/>
        </w:rPr>
        <w:t xml:space="preserve"> hypothetical recommendation </w:t>
      </w:r>
      <w:r>
        <w:rPr>
          <w:b/>
          <w:bCs/>
          <w:color w:val="FF0000"/>
          <w:sz w:val="24"/>
        </w:rPr>
        <w:t>for</w:t>
      </w:r>
      <w:r w:rsidRPr="00477E9C">
        <w:rPr>
          <w:b/>
          <w:bCs/>
          <w:color w:val="FF0000"/>
          <w:sz w:val="24"/>
        </w:rPr>
        <w:t xml:space="preserve"> an investment in the Cromwell </w:t>
      </w:r>
      <w:r>
        <w:rPr>
          <w:b/>
          <w:bCs/>
          <w:color w:val="FF0000"/>
          <w:sz w:val="24"/>
        </w:rPr>
        <w:t>Direct Property Fund</w:t>
      </w:r>
      <w:r w:rsidRPr="00477E9C">
        <w:rPr>
          <w:b/>
          <w:bCs/>
          <w:color w:val="FF0000"/>
          <w:sz w:val="24"/>
        </w:rPr>
        <w:t xml:space="preserve"> (</w:t>
      </w:r>
      <w:r>
        <w:rPr>
          <w:b/>
          <w:bCs/>
          <w:color w:val="FF0000"/>
          <w:sz w:val="24"/>
        </w:rPr>
        <w:t>Cromwell DPF</w:t>
      </w:r>
      <w:r w:rsidRPr="00477E9C">
        <w:rPr>
          <w:b/>
          <w:bCs/>
          <w:color w:val="FF0000"/>
          <w:sz w:val="24"/>
        </w:rPr>
        <w:t xml:space="preserve">) </w:t>
      </w:r>
      <w:r>
        <w:rPr>
          <w:b/>
          <w:bCs/>
          <w:color w:val="FF0000"/>
          <w:sz w:val="24"/>
        </w:rPr>
        <w:t xml:space="preserve">and </w:t>
      </w:r>
      <w:r w:rsidRPr="00477E9C">
        <w:rPr>
          <w:b/>
          <w:bCs/>
          <w:color w:val="FF0000"/>
          <w:sz w:val="24"/>
        </w:rPr>
        <w:t>is</w:t>
      </w:r>
      <w:r>
        <w:rPr>
          <w:b/>
          <w:bCs/>
          <w:color w:val="FF0000"/>
          <w:sz w:val="24"/>
        </w:rPr>
        <w:t>, accordingly,</w:t>
      </w:r>
      <w:r w:rsidRPr="00477E9C">
        <w:rPr>
          <w:b/>
          <w:bCs/>
          <w:color w:val="FF0000"/>
          <w:sz w:val="24"/>
        </w:rPr>
        <w:t xml:space="preserve"> </w:t>
      </w:r>
      <w:r>
        <w:rPr>
          <w:b/>
          <w:bCs/>
          <w:color w:val="FF0000"/>
          <w:sz w:val="24"/>
        </w:rPr>
        <w:t xml:space="preserve">provided as </w:t>
      </w:r>
      <w:r w:rsidRPr="00477E9C">
        <w:rPr>
          <w:b/>
          <w:bCs/>
          <w:color w:val="FF0000"/>
          <w:sz w:val="24"/>
        </w:rPr>
        <w:t xml:space="preserve">an information document to assist </w:t>
      </w:r>
      <w:r>
        <w:rPr>
          <w:b/>
          <w:bCs/>
          <w:color w:val="FF0000"/>
          <w:sz w:val="24"/>
        </w:rPr>
        <w:t>f</w:t>
      </w:r>
      <w:r w:rsidRPr="00477E9C">
        <w:rPr>
          <w:b/>
          <w:bCs/>
          <w:color w:val="FF0000"/>
          <w:sz w:val="24"/>
        </w:rPr>
        <w:t xml:space="preserve">inancial </w:t>
      </w:r>
      <w:r>
        <w:rPr>
          <w:b/>
          <w:bCs/>
          <w:color w:val="FF0000"/>
          <w:sz w:val="24"/>
        </w:rPr>
        <w:t>a</w:t>
      </w:r>
      <w:r w:rsidRPr="00477E9C">
        <w:rPr>
          <w:b/>
          <w:bCs/>
          <w:color w:val="FF0000"/>
          <w:sz w:val="24"/>
        </w:rPr>
        <w:t xml:space="preserve">dvisors in preparing their own </w:t>
      </w:r>
      <w:proofErr w:type="spellStart"/>
      <w:r w:rsidRPr="00477E9C">
        <w:rPr>
          <w:b/>
          <w:bCs/>
          <w:color w:val="FF0000"/>
          <w:sz w:val="24"/>
        </w:rPr>
        <w:t>SoA</w:t>
      </w:r>
      <w:proofErr w:type="spellEnd"/>
      <w:r w:rsidRPr="00477E9C">
        <w:rPr>
          <w:b/>
          <w:bCs/>
          <w:color w:val="FF0000"/>
          <w:sz w:val="24"/>
        </w:rPr>
        <w:t xml:space="preserve">.  </w:t>
      </w:r>
    </w:p>
    <w:p w14:paraId="20A86921"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77D5E536"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r w:rsidRPr="00477E9C">
        <w:rPr>
          <w:b/>
          <w:bCs/>
          <w:color w:val="FF0000"/>
          <w:sz w:val="24"/>
        </w:rPr>
        <w:t xml:space="preserve">Please refer to your licensee for appropriate </w:t>
      </w:r>
      <w:proofErr w:type="spellStart"/>
      <w:r w:rsidRPr="00477E9C">
        <w:rPr>
          <w:b/>
          <w:bCs/>
          <w:color w:val="FF0000"/>
          <w:sz w:val="24"/>
        </w:rPr>
        <w:t>SoA</w:t>
      </w:r>
      <w:proofErr w:type="spellEnd"/>
      <w:r w:rsidRPr="00477E9C">
        <w:rPr>
          <w:b/>
          <w:bCs/>
          <w:color w:val="FF0000"/>
          <w:sz w:val="24"/>
        </w:rPr>
        <w:t xml:space="preserve"> templates in which to insert this information.</w:t>
      </w:r>
      <w:r w:rsidRPr="005645FB">
        <w:rPr>
          <w:b/>
          <w:bCs/>
          <w:color w:val="FF0000"/>
          <w:sz w:val="24"/>
        </w:rPr>
        <w:t xml:space="preserve"> </w:t>
      </w:r>
      <w:r>
        <w:rPr>
          <w:b/>
          <w:bCs/>
          <w:color w:val="FF0000"/>
          <w:sz w:val="24"/>
        </w:rPr>
        <w:t xml:space="preserve"> </w:t>
      </w:r>
      <w:r w:rsidRPr="00477E9C">
        <w:rPr>
          <w:b/>
          <w:bCs/>
          <w:color w:val="FF0000"/>
          <w:sz w:val="24"/>
        </w:rPr>
        <w:t xml:space="preserve">Advisers or their licensee should obtain their own legal advice as to the content requirements of the </w:t>
      </w:r>
      <w:proofErr w:type="spellStart"/>
      <w:r w:rsidRPr="00477E9C">
        <w:rPr>
          <w:b/>
          <w:bCs/>
          <w:color w:val="FF0000"/>
          <w:sz w:val="24"/>
        </w:rPr>
        <w:t>SoA</w:t>
      </w:r>
      <w:proofErr w:type="spellEnd"/>
      <w:r w:rsidRPr="00477E9C">
        <w:rPr>
          <w:b/>
          <w:bCs/>
          <w:color w:val="FF0000"/>
          <w:sz w:val="24"/>
        </w:rPr>
        <w:t>.</w:t>
      </w:r>
    </w:p>
    <w:p w14:paraId="63C73ABB" w14:textId="77777777" w:rsidR="00AE5ACF" w:rsidRPr="00477E9C"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6D250A59" w14:textId="77777777" w:rsidR="00AE5ACF" w:rsidRPr="00477E9C"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r w:rsidRPr="00477E9C">
        <w:rPr>
          <w:b/>
          <w:bCs/>
          <w:color w:val="FF0000"/>
          <w:sz w:val="24"/>
        </w:rPr>
        <w:t>Th</w:t>
      </w:r>
      <w:r>
        <w:rPr>
          <w:b/>
          <w:bCs/>
          <w:color w:val="FF0000"/>
          <w:sz w:val="24"/>
        </w:rPr>
        <w:t xml:space="preserve">is document </w:t>
      </w:r>
      <w:r w:rsidRPr="00477E9C">
        <w:rPr>
          <w:b/>
          <w:bCs/>
          <w:color w:val="FF0000"/>
          <w:sz w:val="24"/>
        </w:rPr>
        <w:t>is provided for the use of licensed financial advisors only.  It does not consider the investment objectives, financial position or particular needs of a particular investor.  A recommendation should only be made by an advisor who has considered</w:t>
      </w:r>
      <w:r w:rsidRPr="00477E9C" w:rsidDel="00363C84">
        <w:rPr>
          <w:b/>
          <w:bCs/>
          <w:color w:val="FF0000"/>
          <w:sz w:val="24"/>
        </w:rPr>
        <w:t xml:space="preserve"> </w:t>
      </w:r>
      <w:r w:rsidRPr="00477E9C">
        <w:rPr>
          <w:b/>
          <w:bCs/>
          <w:color w:val="FF0000"/>
          <w:sz w:val="24"/>
        </w:rPr>
        <w:t xml:space="preserve">and determined the relevant personal circumstances of their client and who forms a reasonably held view that the </w:t>
      </w:r>
      <w:r>
        <w:rPr>
          <w:b/>
          <w:bCs/>
          <w:color w:val="FF0000"/>
          <w:sz w:val="24"/>
        </w:rPr>
        <w:t>Cromwell DPF</w:t>
      </w:r>
      <w:r w:rsidRPr="00477E9C">
        <w:rPr>
          <w:b/>
          <w:bCs/>
          <w:color w:val="FF0000"/>
          <w:sz w:val="24"/>
        </w:rPr>
        <w:t xml:space="preserve"> meets their client’s goals and objectives and so is appropriate for them.  This document is not intended to illustrate the giving of suitable or best advice.  </w:t>
      </w:r>
    </w:p>
    <w:p w14:paraId="410AE02F" w14:textId="77777777" w:rsidR="00AE5ACF" w:rsidRDefault="00AE5ACF" w:rsidP="00AE5ACF">
      <w:pPr>
        <w:pBdr>
          <w:top w:val="single" w:sz="4" w:space="1" w:color="auto"/>
          <w:left w:val="single" w:sz="4" w:space="4" w:color="auto"/>
          <w:bottom w:val="single" w:sz="4" w:space="1" w:color="auto"/>
          <w:right w:val="single" w:sz="4" w:space="4" w:color="auto"/>
        </w:pBdr>
        <w:jc w:val="both"/>
        <w:rPr>
          <w:b/>
          <w:bCs/>
          <w:color w:val="FF0000"/>
          <w:sz w:val="24"/>
        </w:rPr>
      </w:pPr>
    </w:p>
    <w:p w14:paraId="59473B9F" w14:textId="6ACB12C3" w:rsidR="00883D7A" w:rsidRDefault="00AE5ACF" w:rsidP="00AE5ACF">
      <w:pPr>
        <w:jc w:val="both"/>
        <w:rPr>
          <w:b/>
          <w:bCs/>
          <w:color w:val="FF0000"/>
          <w:sz w:val="24"/>
        </w:rPr>
      </w:pPr>
      <w:r w:rsidRPr="00EB7B1C">
        <w:rPr>
          <w:b/>
          <w:bCs/>
          <w:color w:val="FF0000"/>
          <w:sz w:val="24"/>
        </w:rPr>
        <w:t>Should a recommendation be made, applications can only be made on the application form in the Product Disclosure</w:t>
      </w:r>
      <w:r w:rsidR="003105BA" w:rsidRPr="00EB7B1C">
        <w:rPr>
          <w:b/>
          <w:bCs/>
          <w:color w:val="FF0000"/>
          <w:sz w:val="24"/>
        </w:rPr>
        <w:t xml:space="preserve"> Statement for the Cromwell </w:t>
      </w:r>
      <w:r w:rsidR="003105BA" w:rsidRPr="00006093">
        <w:rPr>
          <w:b/>
          <w:bCs/>
          <w:color w:val="FF0000"/>
          <w:sz w:val="24"/>
        </w:rPr>
        <w:t xml:space="preserve">DPF </w:t>
      </w:r>
      <w:r w:rsidRPr="00006093">
        <w:rPr>
          <w:b/>
          <w:bCs/>
          <w:color w:val="FF0000"/>
          <w:sz w:val="24"/>
        </w:rPr>
        <w:t xml:space="preserve">dated </w:t>
      </w:r>
      <w:r w:rsidR="00006093" w:rsidRPr="005B34AF">
        <w:rPr>
          <w:b/>
          <w:bCs/>
          <w:color w:val="FF0000"/>
          <w:sz w:val="24"/>
        </w:rPr>
        <w:t>17 November 2020.</w:t>
      </w:r>
      <w:r w:rsidRPr="005B34AF">
        <w:rPr>
          <w:b/>
          <w:bCs/>
          <w:color w:val="FF0000"/>
          <w:sz w:val="24"/>
        </w:rPr>
        <w:t>  Any potential investor should consider the terms of the PDS</w:t>
      </w:r>
      <w:r w:rsidR="00942360">
        <w:rPr>
          <w:b/>
          <w:bCs/>
          <w:color w:val="FF0000"/>
          <w:sz w:val="24"/>
        </w:rPr>
        <w:t xml:space="preserve"> and TMD for the fund </w:t>
      </w:r>
      <w:r w:rsidRPr="005B34AF">
        <w:rPr>
          <w:b/>
          <w:bCs/>
          <w:color w:val="FF0000"/>
          <w:sz w:val="24"/>
        </w:rPr>
        <w:t>in deciding whether to invest in the Cromwell DPF.</w:t>
      </w:r>
    </w:p>
    <w:p w14:paraId="711F132F" w14:textId="77777777" w:rsidR="001F5590" w:rsidRDefault="001F5590" w:rsidP="00AE5ACF">
      <w:pPr>
        <w:jc w:val="both"/>
        <w:rPr>
          <w:b/>
          <w:bCs/>
          <w:color w:val="FF0000"/>
          <w:sz w:val="24"/>
        </w:rPr>
      </w:pPr>
      <w:r>
        <w:rPr>
          <w:b/>
          <w:bCs/>
          <w:color w:val="FF0000"/>
          <w:sz w:val="24"/>
        </w:rPr>
        <w:t>Current PDS and TMD are available on our website at:</w:t>
      </w:r>
    </w:p>
    <w:p w14:paraId="2B0E2E64" w14:textId="042F5B2A" w:rsidR="001F5590" w:rsidRDefault="00000000" w:rsidP="00AE5ACF">
      <w:pPr>
        <w:jc w:val="both"/>
        <w:rPr>
          <w:b/>
          <w:bCs/>
          <w:color w:val="FF0000"/>
          <w:sz w:val="24"/>
        </w:rPr>
      </w:pPr>
      <w:hyperlink r:id="rId8" w:history="1">
        <w:r w:rsidR="001F5590">
          <w:rPr>
            <w:rStyle w:val="Hyperlink"/>
          </w:rPr>
          <w:t>Cromwell Direct Property Fund - Cromwell Property Group Australia</w:t>
        </w:r>
      </w:hyperlink>
    </w:p>
    <w:p w14:paraId="64031CA1" w14:textId="77777777" w:rsidR="00883D7A" w:rsidRDefault="00883D7A">
      <w:pPr>
        <w:spacing w:before="80" w:after="160" w:line="259" w:lineRule="auto"/>
        <w:ind w:left="0"/>
        <w:rPr>
          <w:b/>
          <w:bCs/>
          <w:color w:val="FF0000"/>
          <w:sz w:val="24"/>
        </w:rPr>
      </w:pPr>
      <w:r>
        <w:rPr>
          <w:b/>
          <w:bCs/>
          <w:color w:val="FF0000"/>
          <w:sz w:val="24"/>
        </w:rPr>
        <w:br w:type="page"/>
      </w:r>
    </w:p>
    <w:p w14:paraId="1CC726B8" w14:textId="77777777" w:rsidR="00AE5ACF" w:rsidRPr="00317DE2" w:rsidRDefault="00AE5ACF" w:rsidP="00AE5ACF">
      <w:pPr>
        <w:pStyle w:val="StyleHeading1CMWHeading1CMWLevel1Justified"/>
        <w:numPr>
          <w:ilvl w:val="0"/>
          <w:numId w:val="31"/>
        </w:numPr>
      </w:pPr>
      <w:r w:rsidRPr="00420DF8">
        <w:lastRenderedPageBreak/>
        <w:t>Basis of Recommendation</w:t>
      </w:r>
    </w:p>
    <w:p w14:paraId="1F252029" w14:textId="77777777" w:rsidR="00AE5ACF" w:rsidRDefault="00AE5ACF" w:rsidP="00AE5ACF">
      <w:pPr>
        <w:pStyle w:val="BodyText"/>
        <w:rPr>
          <w:color w:val="FF0000"/>
        </w:rPr>
      </w:pPr>
      <w:r>
        <w:t xml:space="preserve">It is recommended that an investment of </w:t>
      </w:r>
      <w:r>
        <w:rPr>
          <w:color w:val="FF0000"/>
        </w:rPr>
        <w:t xml:space="preserve">&lt;       &gt; </w:t>
      </w:r>
      <w:r w:rsidRPr="00AF2A90">
        <w:rPr>
          <w:color w:val="000000"/>
        </w:rPr>
        <w:t>be made</w:t>
      </w:r>
      <w:r>
        <w:t xml:space="preserve"> to acquire units in the Cromwell Direct Property Fund (Cromwell DPF or Fund) as we believe it meets your goals and objectives by</w:t>
      </w:r>
      <w:r w:rsidRPr="00317DE2">
        <w:t xml:space="preserve"> </w:t>
      </w:r>
      <w:r>
        <w:rPr>
          <w:color w:val="FF0000"/>
        </w:rPr>
        <w:t xml:space="preserve">&lt;insert how recommendations will meet client’s objectives&gt;. </w:t>
      </w:r>
    </w:p>
    <w:p w14:paraId="6E4F8B06" w14:textId="77777777" w:rsidR="00006093" w:rsidRPr="005B34AF" w:rsidRDefault="00AE5ACF" w:rsidP="00AE5ACF">
      <w:pPr>
        <w:pStyle w:val="BodyText"/>
      </w:pPr>
      <w:r>
        <w:t xml:space="preserve">The Cromwell DPF is an open-ended managed fund investing in non-residential Australian property. </w:t>
      </w:r>
      <w:r w:rsidRPr="00006093">
        <w:t xml:space="preserve">The Fund </w:t>
      </w:r>
      <w:r w:rsidR="0006041E" w:rsidRPr="00006093">
        <w:t>had</w:t>
      </w:r>
      <w:r w:rsidRPr="00006093">
        <w:t xml:space="preserve"> an initial term of 7 years, with an inception date of August 2013. </w:t>
      </w:r>
      <w:r w:rsidR="00703CFA" w:rsidRPr="005B34AF">
        <w:t>This has now been extended for a second term with the Fund’s next full withdrawal opportunity being in July 2025</w:t>
      </w:r>
      <w:r w:rsidR="00006093" w:rsidRPr="005B34AF">
        <w:t>.</w:t>
      </w:r>
    </w:p>
    <w:p w14:paraId="7C9565FA" w14:textId="77777777" w:rsidR="00AE5ACF" w:rsidRDefault="00AE5ACF" w:rsidP="00AE5ACF">
      <w:pPr>
        <w:pStyle w:val="BodyText"/>
      </w:pPr>
      <w:r w:rsidRPr="00006093">
        <w:t>The Cromwell DPF</w:t>
      </w:r>
      <w:r w:rsidRPr="00006093" w:rsidDel="00883BE8">
        <w:t xml:space="preserve"> </w:t>
      </w:r>
      <w:r w:rsidRPr="00006093">
        <w:t>aims to provide investors with a monthly tax advantaged income stream combined</w:t>
      </w:r>
      <w:r w:rsidRPr="005B34AF">
        <w:t xml:space="preserve"> with</w:t>
      </w:r>
      <w:r>
        <w:t xml:space="preserve"> the potential for capital growth</w:t>
      </w:r>
      <w:r w:rsidR="003F3930">
        <w:rPr>
          <w:vertAlign w:val="superscript"/>
        </w:rPr>
        <w:t>1</w:t>
      </w:r>
      <w:r>
        <w:t xml:space="preserve"> through investing in a diversified portfolio of quality property assets.</w:t>
      </w:r>
    </w:p>
    <w:p w14:paraId="0A763151" w14:textId="3D821496" w:rsidR="00AE5ACF" w:rsidRPr="00FE19BA" w:rsidRDefault="007C007C" w:rsidP="00AE5ACF">
      <w:pPr>
        <w:pStyle w:val="BodyText"/>
        <w:rPr>
          <w:color w:val="FF0000"/>
        </w:rPr>
      </w:pPr>
      <w:r>
        <w:t xml:space="preserve">Distributions of </w:t>
      </w:r>
      <w:r w:rsidR="00032ED1">
        <w:t>4</w:t>
      </w:r>
      <w:r w:rsidR="0016033E">
        <w:t>.75</w:t>
      </w:r>
      <w:r w:rsidR="000557D8">
        <w:rPr>
          <w:vertAlign w:val="superscript"/>
        </w:rPr>
        <w:t>2</w:t>
      </w:r>
      <w:r w:rsidR="00AE5ACF">
        <w:t xml:space="preserve"> cents per unit per annum are currently being paid, with the entitlement to distributions arising from the date an application is </w:t>
      </w:r>
      <w:r w:rsidR="0094231E">
        <w:t>accepted,</w:t>
      </w:r>
      <w:r w:rsidR="00AE5ACF">
        <w:t xml:space="preserve"> and units are issued</w:t>
      </w:r>
      <w:r w:rsidR="00B72B54">
        <w:rPr>
          <w:rStyle w:val="FootnoteReference"/>
        </w:rPr>
        <w:footnoteReference w:id="1"/>
      </w:r>
      <w:r w:rsidR="00AE5ACF">
        <w:t>.</w:t>
      </w:r>
    </w:p>
    <w:p w14:paraId="734EAFE3" w14:textId="548E33A3" w:rsidR="00AE5ACF" w:rsidRDefault="00AE5ACF" w:rsidP="00AE5ACF">
      <w:pPr>
        <w:pStyle w:val="BodyText"/>
      </w:pPr>
      <w:r>
        <w:t xml:space="preserve">The Cromwell DPF offers a full withdrawal facility </w:t>
      </w:r>
      <w:r w:rsidR="004A0C6D">
        <w:t>that will be</w:t>
      </w:r>
      <w:r>
        <w:t xml:space="preserve"> available at the end of July 202</w:t>
      </w:r>
      <w:r w:rsidR="00006093">
        <w:t>5</w:t>
      </w:r>
      <w:r>
        <w:t xml:space="preserve"> and at the expiry of every fifth year </w:t>
      </w:r>
      <w:r w:rsidRPr="00A61708">
        <w:t>thereafter. If withdrawal requests amount to less than 50% of the Fund’s units on issue, then Cromwell Funds Management Limited (CFM) will seek to satisfy withdrawal requests within six months. If withdrawal</w:t>
      </w:r>
      <w:r>
        <w:t xml:space="preserve"> requests total 50% or more of the Fund’s units on issue CFM will take steps to wind up the Fund and distribute net proceeds to investors.</w:t>
      </w:r>
    </w:p>
    <w:p w14:paraId="2CBE91E6" w14:textId="77777777" w:rsidR="00AE5ACF" w:rsidRDefault="00AE5ACF" w:rsidP="00AE5ACF">
      <w:pPr>
        <w:rPr>
          <w:color w:val="FF0000"/>
        </w:rPr>
      </w:pPr>
      <w:r>
        <w:t xml:space="preserve">Further information on the Fund is included in this </w:t>
      </w:r>
      <w:proofErr w:type="spellStart"/>
      <w:r>
        <w:t>So</w:t>
      </w:r>
      <w:r w:rsidR="004666E3">
        <w:t>I</w:t>
      </w:r>
      <w:proofErr w:type="spellEnd"/>
      <w:r>
        <w:t xml:space="preserve"> under “The Offer” heading.</w:t>
      </w:r>
      <w:r w:rsidRPr="00D61001">
        <w:rPr>
          <w:color w:val="FF0000"/>
        </w:rPr>
        <w:t xml:space="preserve"> </w:t>
      </w:r>
    </w:p>
    <w:p w14:paraId="25EFF6E7" w14:textId="12947A17" w:rsidR="00AE5ACF" w:rsidRDefault="00AE5ACF" w:rsidP="00AE5ACF">
      <w:r>
        <w:t xml:space="preserve">CFM is a </w:t>
      </w:r>
      <w:r w:rsidR="00B7499F">
        <w:t>wholly owned</w:t>
      </w:r>
      <w:r>
        <w:t xml:space="preserve"> subsidiary of Cromwell Corporation Limited, which is part of the Cromwell Property Group (ASX: CMW), a Global Real Es</w:t>
      </w:r>
      <w:r w:rsidR="00B34B0D">
        <w:t>t</w:t>
      </w:r>
      <w:r>
        <w:t xml:space="preserve">ate Investment Manager with a track record of </w:t>
      </w:r>
      <w:r w:rsidR="0086249C">
        <w:t>delivering</w:t>
      </w:r>
      <w:r>
        <w:t xml:space="preserve"> superior long-term performance through a disciplined and diligent approach to managing property and investors’ funds. </w:t>
      </w:r>
    </w:p>
    <w:p w14:paraId="01DFC74D" w14:textId="15430703" w:rsidR="00AE5ACF" w:rsidRDefault="00AE5ACF" w:rsidP="00AE5ACF">
      <w:r w:rsidRPr="00FB59F4">
        <w:rPr>
          <w:rFonts w:cstheme="minorBidi"/>
        </w:rPr>
        <w:t xml:space="preserve">As </w:t>
      </w:r>
      <w:proofErr w:type="gramStart"/>
      <w:r w:rsidRPr="00FB59F4">
        <w:rPr>
          <w:rFonts w:cstheme="minorBidi"/>
        </w:rPr>
        <w:t>at</w:t>
      </w:r>
      <w:proofErr w:type="gramEnd"/>
      <w:r w:rsidRPr="00FB59F4">
        <w:rPr>
          <w:rFonts w:cstheme="minorBidi"/>
        </w:rPr>
        <w:t xml:space="preserve"> </w:t>
      </w:r>
      <w:r w:rsidR="000B13A1">
        <w:rPr>
          <w:rFonts w:cstheme="minorBidi"/>
        </w:rPr>
        <w:t>3</w:t>
      </w:r>
      <w:r w:rsidR="00307351">
        <w:rPr>
          <w:rFonts w:cstheme="minorBidi"/>
        </w:rPr>
        <w:t>1 December</w:t>
      </w:r>
      <w:r w:rsidR="0086249C" w:rsidRPr="00FB59F4">
        <w:rPr>
          <w:rFonts w:cstheme="minorBidi"/>
        </w:rPr>
        <w:t xml:space="preserve"> 202</w:t>
      </w:r>
      <w:r w:rsidR="000B13A1">
        <w:rPr>
          <w:rFonts w:cstheme="minorBidi"/>
        </w:rPr>
        <w:t>3</w:t>
      </w:r>
      <w:r w:rsidR="0016033E" w:rsidRPr="00FB59F4">
        <w:rPr>
          <w:rFonts w:cstheme="minorBidi"/>
        </w:rPr>
        <w:t xml:space="preserve"> </w:t>
      </w:r>
      <w:r w:rsidRPr="00FB59F4">
        <w:rPr>
          <w:rFonts w:cstheme="minorBidi"/>
        </w:rPr>
        <w:t xml:space="preserve">Cromwell had a market capitalisation of </w:t>
      </w:r>
      <w:r w:rsidR="00E857B7">
        <w:rPr>
          <w:rFonts w:cstheme="minorBidi"/>
        </w:rPr>
        <w:t>$</w:t>
      </w:r>
      <w:r w:rsidR="00307351">
        <w:rPr>
          <w:rFonts w:cstheme="minorBidi"/>
        </w:rPr>
        <w:t>1.14</w:t>
      </w:r>
      <w:r w:rsidR="0016033E" w:rsidRPr="00FB59F4">
        <w:rPr>
          <w:rFonts w:cstheme="minorBidi"/>
        </w:rPr>
        <w:t xml:space="preserve"> </w:t>
      </w:r>
      <w:r w:rsidRPr="00FB59F4">
        <w:rPr>
          <w:rFonts w:cstheme="minorBidi"/>
        </w:rPr>
        <w:t>billion, a direct property investment portfolio in Australia valued at $</w:t>
      </w:r>
      <w:r w:rsidR="00F47E0B" w:rsidRPr="00FB59F4">
        <w:rPr>
          <w:rFonts w:cstheme="minorBidi"/>
        </w:rPr>
        <w:t>2.</w:t>
      </w:r>
      <w:r w:rsidR="00307351">
        <w:rPr>
          <w:rFonts w:cstheme="minorBidi"/>
        </w:rPr>
        <w:t>4</w:t>
      </w:r>
      <w:r w:rsidRPr="00FB59F4">
        <w:rPr>
          <w:rFonts w:cstheme="minorBidi"/>
        </w:rPr>
        <w:t xml:space="preserve"> billion, and total assets under management of $</w:t>
      </w:r>
      <w:r w:rsidR="00F47E0B" w:rsidRPr="00FB59F4">
        <w:rPr>
          <w:rFonts w:cstheme="minorBidi"/>
        </w:rPr>
        <w:t>1</w:t>
      </w:r>
      <w:r w:rsidR="000B13A1">
        <w:rPr>
          <w:rFonts w:cstheme="minorBidi"/>
        </w:rPr>
        <w:t>1.</w:t>
      </w:r>
      <w:r w:rsidR="00307351">
        <w:rPr>
          <w:rFonts w:cstheme="minorBidi"/>
        </w:rPr>
        <w:t>4</w:t>
      </w:r>
      <w:r w:rsidRPr="00FB59F4">
        <w:rPr>
          <w:rFonts w:cstheme="minorBidi"/>
        </w:rPr>
        <w:t xml:space="preserve"> billion across Australia, New Zealand </w:t>
      </w:r>
      <w:r w:rsidRPr="00213534">
        <w:rPr>
          <w:rFonts w:cstheme="minorBidi"/>
        </w:rPr>
        <w:t>and Europe.</w:t>
      </w:r>
    </w:p>
    <w:p w14:paraId="00ED7E1D" w14:textId="77777777" w:rsidR="00AE5ACF" w:rsidRDefault="00AE5ACF" w:rsidP="00AE5ACF">
      <w:pPr>
        <w:spacing w:line="240" w:lineRule="auto"/>
        <w:jc w:val="both"/>
        <w:rPr>
          <w:color w:val="FF0000"/>
        </w:rPr>
      </w:pPr>
    </w:p>
    <w:p w14:paraId="320BC74D" w14:textId="77777777" w:rsidR="00AE5ACF" w:rsidRDefault="00AE5ACF" w:rsidP="00AE5ACF">
      <w:pPr>
        <w:spacing w:line="240" w:lineRule="auto"/>
        <w:jc w:val="both"/>
        <w:rPr>
          <w:color w:val="FF0000"/>
        </w:rPr>
      </w:pPr>
      <w:r>
        <w:rPr>
          <w:color w:val="FF0000"/>
        </w:rPr>
        <w:t xml:space="preserve">[Note to advisers: please ensure that you have also considered alternative strategies, products and any consequences of replacing existing products – refer to your </w:t>
      </w:r>
      <w:proofErr w:type="spellStart"/>
      <w:r>
        <w:rPr>
          <w:color w:val="FF0000"/>
        </w:rPr>
        <w:t>SoA</w:t>
      </w:r>
      <w:proofErr w:type="spellEnd"/>
      <w:r>
        <w:rPr>
          <w:color w:val="FF0000"/>
        </w:rPr>
        <w:t xml:space="preserve"> template for full recommendation instructions in relation to what else must be addressed when completing recommendations.  Further, please consider whether the level of diversification in your client’s portfolio remains appropriate after any investment in the Cromwell DPF]</w:t>
      </w:r>
    </w:p>
    <w:p w14:paraId="08E99842" w14:textId="77777777" w:rsidR="00AE5ACF" w:rsidRDefault="00AE5ACF" w:rsidP="00AE5ACF">
      <w:pPr>
        <w:jc w:val="both"/>
      </w:pPr>
    </w:p>
    <w:p w14:paraId="0482C0A8" w14:textId="77777777" w:rsidR="00AE5ACF" w:rsidRDefault="00AE5ACF" w:rsidP="00AE5ACF">
      <w:pPr>
        <w:pStyle w:val="StyleHeading1CMWHeading1CMWLevel1Justified"/>
        <w:numPr>
          <w:ilvl w:val="0"/>
          <w:numId w:val="31"/>
        </w:numPr>
      </w:pPr>
      <w:r>
        <w:t>Offer Information</w:t>
      </w:r>
    </w:p>
    <w:p w14:paraId="2725B05B" w14:textId="77777777" w:rsidR="00AE5ACF" w:rsidRDefault="00AE5ACF" w:rsidP="00AE5ACF">
      <w:pPr>
        <w:pStyle w:val="Heading2"/>
        <w:numPr>
          <w:ilvl w:val="1"/>
          <w:numId w:val="31"/>
        </w:numPr>
        <w:jc w:val="both"/>
      </w:pPr>
      <w:r>
        <w:t>The Offer</w:t>
      </w:r>
    </w:p>
    <w:p w14:paraId="6BEB618B" w14:textId="77777777" w:rsidR="00AE5ACF" w:rsidRDefault="00AE5ACF" w:rsidP="00AE5ACF">
      <w:pPr>
        <w:pStyle w:val="BodyText"/>
      </w:pPr>
      <w:r>
        <w:t xml:space="preserve">The manager and responsible entity of the Cromwell DPF is Cromwell Funds Management Limited ABN </w:t>
      </w:r>
      <w:r w:rsidRPr="00AF2A90">
        <w:t>63 114 782 777</w:t>
      </w:r>
      <w:r>
        <w:t>.</w:t>
      </w:r>
    </w:p>
    <w:p w14:paraId="400A08D2" w14:textId="77777777" w:rsidR="00AE5ACF" w:rsidRDefault="00AE5ACF" w:rsidP="00AE5ACF">
      <w:pPr>
        <w:pStyle w:val="BodyText"/>
        <w:rPr>
          <w:rFonts w:cs="Arial"/>
        </w:rPr>
      </w:pPr>
      <w:r>
        <w:rPr>
          <w:rFonts w:cs="Arial"/>
        </w:rPr>
        <w:t>CFM has selected a direct property portfolio which provides both yield and diversification through investments in underlying property trusts managed by CFM, in addition to direct property owned wholly by the Fund.</w:t>
      </w:r>
    </w:p>
    <w:p w14:paraId="5C013123" w14:textId="77777777" w:rsidR="00AE5ACF" w:rsidRPr="001D5FE8" w:rsidRDefault="00AE5ACF" w:rsidP="00AE5ACF">
      <w:pPr>
        <w:pStyle w:val="BodyText"/>
        <w:rPr>
          <w:rFonts w:cs="Arial"/>
        </w:rPr>
      </w:pPr>
      <w:r>
        <w:rPr>
          <w:rFonts w:cs="Arial"/>
        </w:rPr>
        <w:t>Over time, as the Fund acquires or sells assets, the Fund’s investment portfolio will change.</w:t>
      </w:r>
    </w:p>
    <w:p w14:paraId="34C6E52E" w14:textId="77777777" w:rsidR="00AE5ACF" w:rsidRPr="001D5FE8" w:rsidRDefault="00AE5ACF" w:rsidP="00AE5ACF">
      <w:pPr>
        <w:tabs>
          <w:tab w:val="left" w:pos="1575"/>
        </w:tabs>
        <w:adjustRightInd w:val="0"/>
        <w:jc w:val="both"/>
        <w:rPr>
          <w:rFonts w:cs="Arial"/>
          <w:sz w:val="24"/>
        </w:rPr>
      </w:pPr>
      <w:r w:rsidRPr="00A74CE3">
        <w:rPr>
          <w:rFonts w:cs="Arial"/>
          <w:b/>
        </w:rPr>
        <w:t xml:space="preserve">FEATURES OF THE </w:t>
      </w:r>
      <w:r>
        <w:rPr>
          <w:rFonts w:cs="Arial"/>
          <w:b/>
        </w:rPr>
        <w:t>FUND</w:t>
      </w:r>
    </w:p>
    <w:p w14:paraId="4D52EAE7" w14:textId="77777777" w:rsidR="00AE5ACF" w:rsidRPr="005B34AF" w:rsidRDefault="00006093" w:rsidP="00AE5ACF">
      <w:pPr>
        <w:pStyle w:val="ListBullet0"/>
        <w:numPr>
          <w:ilvl w:val="0"/>
          <w:numId w:val="24"/>
        </w:numPr>
        <w:tabs>
          <w:tab w:val="clear" w:pos="425"/>
          <w:tab w:val="num" w:pos="1134"/>
        </w:tabs>
        <w:ind w:left="1134"/>
        <w:rPr>
          <w:b/>
        </w:rPr>
      </w:pPr>
      <w:r w:rsidRPr="005B34AF">
        <w:rPr>
          <w:b/>
        </w:rPr>
        <w:t xml:space="preserve">Periodic (every 5 years) </w:t>
      </w:r>
      <w:r w:rsidR="005B34AF">
        <w:rPr>
          <w:b/>
        </w:rPr>
        <w:t>full withdrawal opportunity</w:t>
      </w:r>
    </w:p>
    <w:p w14:paraId="010A8DEB" w14:textId="77777777" w:rsidR="00AE5ACF" w:rsidRPr="00317DE2" w:rsidRDefault="00AE5ACF" w:rsidP="00AE5ACF">
      <w:pPr>
        <w:pStyle w:val="ListBullet0"/>
        <w:numPr>
          <w:ilvl w:val="0"/>
          <w:numId w:val="24"/>
        </w:numPr>
        <w:tabs>
          <w:tab w:val="clear" w:pos="425"/>
          <w:tab w:val="num" w:pos="1134"/>
        </w:tabs>
        <w:ind w:left="1134"/>
        <w:rPr>
          <w:b/>
        </w:rPr>
      </w:pPr>
      <w:r w:rsidRPr="00317DE2">
        <w:rPr>
          <w:b/>
        </w:rPr>
        <w:t>Limited monthly liquidity</w:t>
      </w:r>
    </w:p>
    <w:p w14:paraId="0CF3165D" w14:textId="20EAFC8E" w:rsidR="00AE5ACF" w:rsidRPr="00317DE2" w:rsidRDefault="007C007C" w:rsidP="00AE5ACF">
      <w:pPr>
        <w:pStyle w:val="ListBullet0"/>
        <w:numPr>
          <w:ilvl w:val="0"/>
          <w:numId w:val="24"/>
        </w:numPr>
        <w:tabs>
          <w:tab w:val="clear" w:pos="425"/>
          <w:tab w:val="num" w:pos="1134"/>
        </w:tabs>
        <w:ind w:left="1134"/>
        <w:rPr>
          <w:b/>
        </w:rPr>
      </w:pPr>
      <w:r>
        <w:rPr>
          <w:b/>
        </w:rPr>
        <w:t>C</w:t>
      </w:r>
      <w:r w:rsidR="00AE5ACF" w:rsidRPr="00317DE2">
        <w:rPr>
          <w:b/>
        </w:rPr>
        <w:t xml:space="preserve">urrently paying </w:t>
      </w:r>
      <w:r w:rsidR="00032ED1">
        <w:rPr>
          <w:b/>
        </w:rPr>
        <w:t>4</w:t>
      </w:r>
      <w:r w:rsidR="0016033E" w:rsidRPr="007E3CCA">
        <w:rPr>
          <w:b/>
        </w:rPr>
        <w:t>.75</w:t>
      </w:r>
      <w:r w:rsidR="00AE5ACF" w:rsidRPr="007E3CCA">
        <w:rPr>
          <w:b/>
        </w:rPr>
        <w:t xml:space="preserve"> </w:t>
      </w:r>
      <w:r w:rsidR="00942360" w:rsidRPr="007E3CCA">
        <w:rPr>
          <w:b/>
        </w:rPr>
        <w:t>CPU</w:t>
      </w:r>
      <w:r w:rsidR="00AE5ACF" w:rsidRPr="00317DE2">
        <w:rPr>
          <w:b/>
        </w:rPr>
        <w:t xml:space="preserve"> p</w:t>
      </w:r>
      <w:r w:rsidR="00C609BB">
        <w:rPr>
          <w:b/>
        </w:rPr>
        <w:t>er annum</w:t>
      </w:r>
      <w:r w:rsidR="00AE5ACF" w:rsidRPr="00317DE2">
        <w:rPr>
          <w:b/>
        </w:rPr>
        <w:t xml:space="preserve"> </w:t>
      </w:r>
      <w:r w:rsidR="00C609BB">
        <w:rPr>
          <w:b/>
        </w:rPr>
        <w:t>(</w:t>
      </w:r>
      <w:r w:rsidR="00AE5ACF" w:rsidRPr="00317DE2">
        <w:rPr>
          <w:b/>
        </w:rPr>
        <w:t>monthly distribution</w:t>
      </w:r>
      <w:r w:rsidR="00C609BB">
        <w:rPr>
          <w:b/>
        </w:rPr>
        <w:t>)</w:t>
      </w:r>
      <w:r w:rsidR="00B72B54">
        <w:rPr>
          <w:b/>
          <w:vertAlign w:val="superscript"/>
        </w:rPr>
        <w:t>1</w:t>
      </w:r>
      <w:r w:rsidR="00AE5ACF" w:rsidRPr="00317DE2">
        <w:rPr>
          <w:b/>
        </w:rPr>
        <w:t xml:space="preserve"> </w:t>
      </w:r>
    </w:p>
    <w:p w14:paraId="64ADA4C8" w14:textId="77777777" w:rsidR="00AE5ACF" w:rsidRPr="00076A13" w:rsidRDefault="007C007C" w:rsidP="00AE5ACF">
      <w:pPr>
        <w:pStyle w:val="ListBullet0"/>
        <w:numPr>
          <w:ilvl w:val="0"/>
          <w:numId w:val="24"/>
        </w:numPr>
        <w:tabs>
          <w:tab w:val="clear" w:pos="425"/>
          <w:tab w:val="num" w:pos="1134"/>
        </w:tabs>
        <w:ind w:left="1134"/>
      </w:pPr>
      <w:r>
        <w:rPr>
          <w:b/>
        </w:rPr>
        <w:t>P</w:t>
      </w:r>
      <w:r w:rsidR="00AE5ACF" w:rsidRPr="00317DE2">
        <w:rPr>
          <w:b/>
        </w:rPr>
        <w:t>otential for capital growth</w:t>
      </w:r>
      <w:r w:rsidR="00B72B54">
        <w:rPr>
          <w:vertAlign w:val="superscript"/>
        </w:rPr>
        <w:t>1</w:t>
      </w:r>
    </w:p>
    <w:p w14:paraId="74977E6F" w14:textId="5F61EFFB" w:rsidR="00AE5ACF" w:rsidRPr="00A61708" w:rsidRDefault="00AE5ACF" w:rsidP="00AE5ACF">
      <w:pPr>
        <w:pStyle w:val="ListBullet0"/>
        <w:numPr>
          <w:ilvl w:val="0"/>
          <w:numId w:val="24"/>
        </w:numPr>
        <w:tabs>
          <w:tab w:val="clear" w:pos="425"/>
          <w:tab w:val="num" w:pos="1134"/>
        </w:tabs>
        <w:ind w:left="1134"/>
        <w:rPr>
          <w:b/>
        </w:rPr>
      </w:pPr>
      <w:r w:rsidRPr="00F325FF">
        <w:rPr>
          <w:b/>
        </w:rPr>
        <w:t xml:space="preserve">Portfolio </w:t>
      </w:r>
      <w:r w:rsidRPr="00A61708">
        <w:rPr>
          <w:b/>
        </w:rPr>
        <w:t xml:space="preserve">occupancy </w:t>
      </w:r>
      <w:r w:rsidR="003A0A63" w:rsidRPr="00A61708">
        <w:rPr>
          <w:b/>
        </w:rPr>
        <w:t>9</w:t>
      </w:r>
      <w:r w:rsidR="00307351" w:rsidRPr="00A61708">
        <w:rPr>
          <w:b/>
        </w:rPr>
        <w:t>5.5</w:t>
      </w:r>
      <w:r w:rsidRPr="00A61708">
        <w:rPr>
          <w:b/>
        </w:rPr>
        <w:t xml:space="preserve">% by </w:t>
      </w:r>
      <w:r w:rsidR="00D37F11" w:rsidRPr="00A61708">
        <w:rPr>
          <w:b/>
        </w:rPr>
        <w:t>NLA</w:t>
      </w:r>
      <w:r w:rsidR="00B72B54" w:rsidRPr="00A61708">
        <w:rPr>
          <w:rStyle w:val="FootnoteReference"/>
          <w:b/>
        </w:rPr>
        <w:footnoteReference w:id="2"/>
      </w:r>
      <w:r w:rsidR="00982DC2" w:rsidRPr="00A61708">
        <w:rPr>
          <w:b/>
        </w:rPr>
        <w:t xml:space="preserve"> </w:t>
      </w:r>
    </w:p>
    <w:p w14:paraId="72DA4E86" w14:textId="002479E0" w:rsidR="00AE5ACF" w:rsidRPr="00F325FF" w:rsidRDefault="00AE5ACF" w:rsidP="00AE5ACF">
      <w:pPr>
        <w:pStyle w:val="ListBullet0"/>
        <w:numPr>
          <w:ilvl w:val="0"/>
          <w:numId w:val="24"/>
        </w:numPr>
        <w:tabs>
          <w:tab w:val="clear" w:pos="425"/>
          <w:tab w:val="num" w:pos="1134"/>
        </w:tabs>
        <w:ind w:left="1134"/>
        <w:rPr>
          <w:b/>
        </w:rPr>
      </w:pPr>
      <w:r w:rsidRPr="00A61708">
        <w:rPr>
          <w:b/>
        </w:rPr>
        <w:t xml:space="preserve">Weighted Average Lease Expiry of </w:t>
      </w:r>
      <w:r w:rsidR="0047256D" w:rsidRPr="00A61708">
        <w:rPr>
          <w:b/>
        </w:rPr>
        <w:t>4.</w:t>
      </w:r>
      <w:r w:rsidR="003A0A63" w:rsidRPr="00A61708">
        <w:rPr>
          <w:b/>
        </w:rPr>
        <w:t>2</w:t>
      </w:r>
      <w:r w:rsidRPr="00A61708">
        <w:rPr>
          <w:b/>
        </w:rPr>
        <w:t xml:space="preserve"> Years by</w:t>
      </w:r>
      <w:r w:rsidRPr="00F325FF">
        <w:rPr>
          <w:b/>
        </w:rPr>
        <w:t xml:space="preserve"> gross income</w:t>
      </w:r>
      <w:r w:rsidR="00B72B54" w:rsidRPr="00F325FF">
        <w:rPr>
          <w:rStyle w:val="FootnoteReference"/>
          <w:b/>
        </w:rPr>
        <w:footnoteReference w:id="3"/>
      </w:r>
    </w:p>
    <w:p w14:paraId="3C036197" w14:textId="77777777" w:rsidR="00AE5ACF" w:rsidRDefault="00AE5ACF" w:rsidP="00AE5ACF">
      <w:pPr>
        <w:pStyle w:val="Heading2"/>
        <w:numPr>
          <w:ilvl w:val="1"/>
          <w:numId w:val="31"/>
        </w:numPr>
        <w:jc w:val="both"/>
      </w:pPr>
      <w:r>
        <w:t>Structure</w:t>
      </w:r>
    </w:p>
    <w:p w14:paraId="68C3C1E2" w14:textId="77777777" w:rsidR="00AE5ACF" w:rsidRDefault="00AE5ACF" w:rsidP="00AE5ACF">
      <w:pPr>
        <w:pStyle w:val="BodyText"/>
        <w:rPr>
          <w:highlight w:val="yellow"/>
        </w:rPr>
      </w:pPr>
      <w:r w:rsidRPr="009D27C2">
        <w:t xml:space="preserve">The minimum subscription is $10,000 and multiples of $1,000 </w:t>
      </w:r>
      <w:r>
        <w:t xml:space="preserve">will </w:t>
      </w:r>
      <w:r w:rsidRPr="009D27C2">
        <w:t xml:space="preserve">apply thereafter. </w:t>
      </w:r>
    </w:p>
    <w:p w14:paraId="38F1E7C0" w14:textId="77777777" w:rsidR="00AE5ACF" w:rsidRDefault="00AE5ACF" w:rsidP="00AE5ACF">
      <w:pPr>
        <w:pStyle w:val="BodyText"/>
      </w:pPr>
      <w:r>
        <w:t>The Fund is an open-ended Fund and will continue to raise equity and seek appropriate investments over the term of the Fund.</w:t>
      </w:r>
    </w:p>
    <w:p w14:paraId="335472C3" w14:textId="77777777" w:rsidR="00AE5ACF" w:rsidRDefault="00AE5ACF" w:rsidP="00AE5ACF">
      <w:pPr>
        <w:pStyle w:val="BodyText"/>
      </w:pPr>
      <w:r>
        <w:t>Investors will be issued units once their application is accepted by CFM.</w:t>
      </w:r>
    </w:p>
    <w:p w14:paraId="49C37DA7" w14:textId="23D1E3CD" w:rsidR="00AE5ACF" w:rsidRDefault="00AE5ACF" w:rsidP="00AE5ACF">
      <w:pPr>
        <w:pStyle w:val="BodyText"/>
      </w:pPr>
      <w:r>
        <w:t xml:space="preserve">The offer opened on </w:t>
      </w:r>
      <w:r w:rsidRPr="00D075C5">
        <w:t>21</w:t>
      </w:r>
      <w:r w:rsidR="00572361">
        <w:rPr>
          <w:vertAlign w:val="superscript"/>
        </w:rPr>
        <w:t xml:space="preserve"> </w:t>
      </w:r>
      <w:r w:rsidRPr="00D075C5">
        <w:t>August 2013.</w:t>
      </w:r>
      <w:r>
        <w:t xml:space="preserve"> </w:t>
      </w:r>
    </w:p>
    <w:p w14:paraId="6BB84F33" w14:textId="77777777" w:rsidR="00AE5ACF" w:rsidRDefault="00AE5ACF" w:rsidP="00AE5ACF">
      <w:pPr>
        <w:pStyle w:val="Heading2"/>
        <w:numPr>
          <w:ilvl w:val="1"/>
          <w:numId w:val="31"/>
        </w:numPr>
        <w:jc w:val="both"/>
      </w:pPr>
      <w:r w:rsidRPr="00962A33">
        <w:t>The Investments</w:t>
      </w:r>
    </w:p>
    <w:p w14:paraId="18C34813" w14:textId="77777777" w:rsidR="00AE5ACF" w:rsidRDefault="00AE5ACF" w:rsidP="00AE5ACF">
      <w:pPr>
        <w:pStyle w:val="BodyText"/>
      </w:pPr>
      <w:r>
        <w:t xml:space="preserve">Over time, as CFM acquires or sells assets consistent with its investment strategy, the specific assets comprising the Fund’s investment portfolio will change. Furthermore, the Property Trusts the Fund invests in may also buy, sell or expand on their portfolios, resulting in changes to the Fund’s exposure to various assets. </w:t>
      </w:r>
    </w:p>
    <w:p w14:paraId="1307CA4B" w14:textId="4538EE97" w:rsidR="00AE5ACF" w:rsidRDefault="00AE5ACF" w:rsidP="00AE5ACF">
      <w:pPr>
        <w:pStyle w:val="BodyText"/>
      </w:pPr>
      <w:r w:rsidRPr="00862B4D">
        <w:lastRenderedPageBreak/>
        <w:t xml:space="preserve">The following charts outline the Fund’s investment and property portfolio as </w:t>
      </w:r>
      <w:proofErr w:type="gramStart"/>
      <w:r w:rsidRPr="00A61708">
        <w:t>at</w:t>
      </w:r>
      <w:proofErr w:type="gramEnd"/>
      <w:r w:rsidRPr="00A61708">
        <w:t xml:space="preserve"> </w:t>
      </w:r>
      <w:r w:rsidR="003A0A63" w:rsidRPr="00A61708">
        <w:t xml:space="preserve">31 </w:t>
      </w:r>
      <w:r w:rsidR="00307351" w:rsidRPr="00A61708">
        <w:t>March</w:t>
      </w:r>
      <w:r w:rsidR="003A0A63" w:rsidRPr="00A61708">
        <w:t xml:space="preserve"> 202</w:t>
      </w:r>
      <w:r w:rsidR="00266B2E" w:rsidRPr="00A61708">
        <w:t>4</w:t>
      </w:r>
      <w:r w:rsidR="00B72B54" w:rsidRPr="00A61708">
        <w:rPr>
          <w:rStyle w:val="FootnoteReference"/>
        </w:rPr>
        <w:footnoteReference w:id="4"/>
      </w:r>
      <w:r w:rsidRPr="00A61708">
        <w:t>.</w:t>
      </w:r>
    </w:p>
    <w:p w14:paraId="2CE863A8" w14:textId="1432FC3F" w:rsidR="003B6AB9" w:rsidRDefault="003B6AB9" w:rsidP="005B34AF">
      <w:pPr>
        <w:pStyle w:val="Heading3"/>
        <w:numPr>
          <w:ilvl w:val="0"/>
          <w:numId w:val="0"/>
        </w:numPr>
        <w:ind w:firstLine="709"/>
        <w:rPr>
          <w:color w:val="003C5A" w:themeColor="accent2"/>
          <w:sz w:val="28"/>
        </w:rPr>
      </w:pPr>
      <w:r w:rsidRPr="005B34AF">
        <w:rPr>
          <w:color w:val="003C5A" w:themeColor="accent2"/>
          <w:sz w:val="28"/>
        </w:rPr>
        <w:t>Property Portfolio</w:t>
      </w:r>
      <w:r w:rsidR="00F61919">
        <w:rPr>
          <w:color w:val="003C5A" w:themeColor="accent2"/>
          <w:sz w:val="28"/>
        </w:rPr>
        <w:t xml:space="preserve"> (look through)</w:t>
      </w:r>
    </w:p>
    <w:p w14:paraId="6A43F7A6" w14:textId="1F49C1A0" w:rsidR="00F42992" w:rsidRDefault="00D92FA7" w:rsidP="00AE5ACF">
      <w:pPr>
        <w:pStyle w:val="BodyText"/>
      </w:pPr>
      <w:r>
        <w:rPr>
          <w:noProof/>
        </w:rPr>
        <w:drawing>
          <wp:inline distT="0" distB="0" distL="0" distR="0" wp14:anchorId="6B95D922" wp14:editId="6EB7EE87">
            <wp:extent cx="5220017" cy="4183104"/>
            <wp:effectExtent l="0" t="0" r="0" b="8255"/>
            <wp:docPr id="313998899" name="Chart 1">
              <a:extLst xmlns:a="http://schemas.openxmlformats.org/drawingml/2006/main">
                <a:ext uri="{FF2B5EF4-FFF2-40B4-BE49-F238E27FC236}">
                  <a16:creationId xmlns:a16="http://schemas.microsoft.com/office/drawing/2014/main" id="{65817FD8-46A5-4F6C-99FB-6987F12B7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E3AC23" w14:textId="414014E8" w:rsidR="001C50FE" w:rsidRDefault="001C50FE" w:rsidP="00AE5ACF">
      <w:pPr>
        <w:pStyle w:val="BodyText"/>
      </w:pPr>
    </w:p>
    <w:p w14:paraId="4C80906B" w14:textId="4745D06A" w:rsidR="00EC1682" w:rsidRDefault="00EC1682" w:rsidP="005B34AF">
      <w:pPr>
        <w:pStyle w:val="Heading3"/>
        <w:numPr>
          <w:ilvl w:val="0"/>
          <w:numId w:val="0"/>
        </w:numPr>
        <w:ind w:firstLine="709"/>
        <w:rPr>
          <w:color w:val="003C5A" w:themeColor="accent2"/>
          <w:sz w:val="28"/>
        </w:rPr>
      </w:pPr>
      <w:r w:rsidRPr="004D4000">
        <w:rPr>
          <w:color w:val="003C5A" w:themeColor="accent2"/>
          <w:sz w:val="28"/>
        </w:rPr>
        <w:lastRenderedPageBreak/>
        <w:t>Investment Portfolio</w:t>
      </w:r>
      <w:r w:rsidR="00F61919">
        <w:rPr>
          <w:color w:val="003C5A" w:themeColor="accent2"/>
          <w:sz w:val="28"/>
        </w:rPr>
        <w:t xml:space="preserve"> (look through)</w:t>
      </w:r>
      <w:r w:rsidR="00B07918">
        <w:rPr>
          <w:color w:val="003C5A" w:themeColor="accent2"/>
          <w:sz w:val="28"/>
        </w:rPr>
        <w:t xml:space="preserve"> </w:t>
      </w:r>
    </w:p>
    <w:p w14:paraId="28E66821" w14:textId="01C9E7D8" w:rsidR="000661EE" w:rsidRPr="0084499C" w:rsidRDefault="00F613B6" w:rsidP="0084499C">
      <w:pPr>
        <w:pStyle w:val="BodyText"/>
      </w:pPr>
      <w:r>
        <w:rPr>
          <w:noProof/>
        </w:rPr>
        <w:drawing>
          <wp:inline distT="0" distB="0" distL="0" distR="0" wp14:anchorId="39CFE9C3" wp14:editId="7847C2B1">
            <wp:extent cx="4447490" cy="3212354"/>
            <wp:effectExtent l="0" t="0" r="10795" b="7620"/>
            <wp:docPr id="137576988" name="Chart 1">
              <a:extLst xmlns:a="http://schemas.openxmlformats.org/drawingml/2006/main">
                <a:ext uri="{FF2B5EF4-FFF2-40B4-BE49-F238E27FC236}">
                  <a16:creationId xmlns:a16="http://schemas.microsoft.com/office/drawing/2014/main" id="{53EF845B-623E-413B-8B1D-3F0953E4B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5D13D5" w14:textId="77777777" w:rsidR="00B7499F" w:rsidRDefault="00B7499F" w:rsidP="00AE5ACF">
      <w:pPr>
        <w:pStyle w:val="BodyText"/>
      </w:pPr>
    </w:p>
    <w:p w14:paraId="602AEF17" w14:textId="2C52A3A7" w:rsidR="00AE5ACF" w:rsidRDefault="00AE5ACF" w:rsidP="00AE5ACF">
      <w:pPr>
        <w:pStyle w:val="BodyText"/>
      </w:pPr>
      <w:r>
        <w:t xml:space="preserve">For ongoing up-to-date information on the Fund’s investment portfolio, please refer to the most </w:t>
      </w:r>
      <w:r w:rsidR="00D802EF">
        <w:t xml:space="preserve">recent </w:t>
      </w:r>
      <w:r>
        <w:t>“ASIC Benchmarks and Disclosure Principles</w:t>
      </w:r>
      <w:r w:rsidR="00D802EF">
        <w:t xml:space="preserve"> (RG46 Disclosure Guide)</w:t>
      </w:r>
      <w:r>
        <w:t>: Cromwell Direct Property Fund” which is available online at</w:t>
      </w:r>
      <w:r w:rsidR="00006093">
        <w:t xml:space="preserve"> </w:t>
      </w:r>
      <w:hyperlink r:id="rId11" w:history="1">
        <w:r w:rsidRPr="00B7499F">
          <w:t>www.cromwell.com.au/dpf</w:t>
        </w:r>
      </w:hyperlink>
      <w:r>
        <w:t xml:space="preserve"> or can be obtained free of charge, on request from Cromwell’s Investor Services Team on 1300 268 078.</w:t>
      </w:r>
    </w:p>
    <w:p w14:paraId="77510B4E" w14:textId="77777777" w:rsidR="00E857B7" w:rsidRDefault="00E857B7" w:rsidP="00E857B7">
      <w:pPr>
        <w:pStyle w:val="BodyText"/>
      </w:pPr>
      <w:r>
        <w:t>The Target Market Determination (TMD) should also be used as a guide to clarify whether your clients are suitable for this fund. The TMD should be read in conjunction with the PDS.</w:t>
      </w:r>
    </w:p>
    <w:p w14:paraId="1F400D75" w14:textId="77777777" w:rsidR="00E857B7" w:rsidRDefault="00E857B7" w:rsidP="00AE5ACF">
      <w:pPr>
        <w:pStyle w:val="BodyText"/>
      </w:pPr>
    </w:p>
    <w:p w14:paraId="6A232017" w14:textId="77777777" w:rsidR="00AE5ACF" w:rsidRDefault="00AE5ACF" w:rsidP="00AE5ACF">
      <w:pPr>
        <w:pStyle w:val="Heading2"/>
        <w:numPr>
          <w:ilvl w:val="1"/>
          <w:numId w:val="31"/>
        </w:numPr>
        <w:jc w:val="both"/>
      </w:pPr>
      <w:bookmarkStart w:id="1" w:name="OLE_LINK2"/>
      <w:r>
        <w:t>Distributions</w:t>
      </w:r>
    </w:p>
    <w:bookmarkEnd w:id="1"/>
    <w:p w14:paraId="60931148" w14:textId="0AFF07A7" w:rsidR="00B72B54" w:rsidRDefault="00AE5ACF" w:rsidP="00B72B54">
      <w:pPr>
        <w:pStyle w:val="BodyText"/>
        <w:rPr>
          <w:vertAlign w:val="superscript"/>
        </w:rPr>
      </w:pPr>
      <w:r w:rsidRPr="00A61708">
        <w:t xml:space="preserve">The current distribution upon issue is </w:t>
      </w:r>
      <w:r w:rsidR="00032ED1" w:rsidRPr="00A61708">
        <w:t>4</w:t>
      </w:r>
      <w:r w:rsidR="0047256D" w:rsidRPr="00A61708">
        <w:t>.75</w:t>
      </w:r>
      <w:r w:rsidRPr="00A61708">
        <w:t xml:space="preserve"> cents per</w:t>
      </w:r>
      <w:r>
        <w:t xml:space="preserve"> unit per annum</w:t>
      </w:r>
      <w:r w:rsidR="00B72B54">
        <w:rPr>
          <w:vertAlign w:val="superscript"/>
        </w:rPr>
        <w:t>1.</w:t>
      </w:r>
    </w:p>
    <w:p w14:paraId="050AEBD3" w14:textId="32D4F2F9" w:rsidR="00AE5ACF" w:rsidRPr="00B72B54" w:rsidRDefault="00AE5ACF" w:rsidP="00B72B54">
      <w:pPr>
        <w:pStyle w:val="BodyText"/>
        <w:rPr>
          <w:vertAlign w:val="superscript"/>
        </w:rPr>
      </w:pPr>
      <w:r>
        <w:t>Distributions are paid approximately 1</w:t>
      </w:r>
      <w:r w:rsidR="00D802EF">
        <w:t>2</w:t>
      </w:r>
      <w:r>
        <w:t xml:space="preserve"> days after the end of each month directly into investors’ bank accounts. A reinvestment option is available. If no option is chosen on the application form distributions will automatically be reinvested.</w:t>
      </w:r>
    </w:p>
    <w:p w14:paraId="0F05AA03" w14:textId="77777777" w:rsidR="00AE5ACF" w:rsidRDefault="00AE5ACF" w:rsidP="00AE5ACF">
      <w:pPr>
        <w:pStyle w:val="Heading2"/>
        <w:numPr>
          <w:ilvl w:val="1"/>
          <w:numId w:val="31"/>
        </w:numPr>
        <w:jc w:val="both"/>
      </w:pPr>
      <w:r>
        <w:t>Manager (Responsible Entity)</w:t>
      </w:r>
    </w:p>
    <w:p w14:paraId="6757FCF2" w14:textId="3940CC97" w:rsidR="00AE5ACF" w:rsidRDefault="00AE5ACF" w:rsidP="00AE5ACF">
      <w:pPr>
        <w:pStyle w:val="BodyText"/>
      </w:pPr>
      <w:r>
        <w:t xml:space="preserve">CFM is a </w:t>
      </w:r>
      <w:r w:rsidR="00B7499F">
        <w:t>wholly owned</w:t>
      </w:r>
      <w:r>
        <w:t xml:space="preserve"> subsidiary of Cromwell Corporation Limited</w:t>
      </w:r>
      <w:r w:rsidRPr="00DC5421">
        <w:t>. Its objective is to provide individual inves</w:t>
      </w:r>
      <w:r>
        <w:t xml:space="preserve">tors and superannuation funds with access to the income, tax deferral and capital growth that can be achieved through owning professionally selected and managed industrial and commercial property.  </w:t>
      </w:r>
    </w:p>
    <w:p w14:paraId="358FB12C" w14:textId="77777777" w:rsidR="00AE5ACF" w:rsidRDefault="00AE5ACF" w:rsidP="00AE5ACF">
      <w:pPr>
        <w:pStyle w:val="BodyText"/>
      </w:pPr>
      <w:r>
        <w:t>CFM holds an Australian Financial Services License (AFS Licence No 333214) which entitles it to act as the responsible entity of the Cromwell DPF.</w:t>
      </w:r>
    </w:p>
    <w:p w14:paraId="648CB5FB" w14:textId="05F59A4B" w:rsidR="00AE5ACF" w:rsidRDefault="00AE5ACF" w:rsidP="00AE5ACF">
      <w:pPr>
        <w:pStyle w:val="BodyText"/>
      </w:pPr>
      <w:r>
        <w:lastRenderedPageBreak/>
        <w:t>The Directors and senior executives of CFM and the Cromwell Property Group have a diverse background and wide variety of skills and experience in the creation and management of direct property investments. These skills include areas such as contract negotiation, due diligence, valuation, financial and credit analysis, loan structuring, property law, commercial real estate, funds and asset management, accountancy and development management.</w:t>
      </w:r>
    </w:p>
    <w:p w14:paraId="052E4597" w14:textId="77777777" w:rsidR="00AE5ACF" w:rsidRDefault="00AE5ACF" w:rsidP="00AE5ACF">
      <w:pPr>
        <w:pStyle w:val="Heading2"/>
        <w:numPr>
          <w:ilvl w:val="1"/>
          <w:numId w:val="31"/>
        </w:numPr>
        <w:jc w:val="both"/>
      </w:pPr>
      <w:r>
        <w:t>Custodian</w:t>
      </w:r>
    </w:p>
    <w:p w14:paraId="5B305871" w14:textId="77777777" w:rsidR="00AE5ACF" w:rsidRDefault="00AE5ACF" w:rsidP="00AE5ACF">
      <w:pPr>
        <w:jc w:val="both"/>
      </w:pPr>
      <w:r>
        <w:t xml:space="preserve">The assets of the Cromwell DPF are held by </w:t>
      </w:r>
      <w:r w:rsidRPr="00DA71F9">
        <w:t xml:space="preserve">Cromwell </w:t>
      </w:r>
      <w:r>
        <w:t>BT Pty Ltd as Custodian for the Cromwell DPF.</w:t>
      </w:r>
    </w:p>
    <w:p w14:paraId="68BDD5CB" w14:textId="77777777" w:rsidR="00AE5ACF" w:rsidRDefault="00AE5ACF" w:rsidP="00AE5ACF">
      <w:pPr>
        <w:pStyle w:val="Heading2"/>
        <w:numPr>
          <w:ilvl w:val="1"/>
          <w:numId w:val="31"/>
        </w:numPr>
      </w:pPr>
      <w:bookmarkStart w:id="2" w:name="OLE_LINK3"/>
      <w:bookmarkStart w:id="3" w:name="OLE_LINK4"/>
      <w:r>
        <w:t>Borrowing Policy</w:t>
      </w:r>
    </w:p>
    <w:bookmarkEnd w:id="2"/>
    <w:bookmarkEnd w:id="3"/>
    <w:p w14:paraId="55BFB86B" w14:textId="5F0614EC" w:rsidR="00AE5ACF" w:rsidRDefault="00AE5ACF" w:rsidP="00AE5ACF">
      <w:pPr>
        <w:pStyle w:val="BodyText"/>
      </w:pPr>
      <w:r>
        <w:t xml:space="preserve">The Fund will only borrow directly if it acquires property </w:t>
      </w:r>
      <w:r w:rsidR="003A0A63">
        <w:t>directly and</w:t>
      </w:r>
      <w:r>
        <w:t xml:space="preserve"> will limit gearing to no more than 50% of the value of the properties held directly.</w:t>
      </w:r>
    </w:p>
    <w:p w14:paraId="3712BB63" w14:textId="77777777" w:rsidR="00AE5ACF" w:rsidRDefault="00AE5ACF" w:rsidP="00AE5ACF">
      <w:pPr>
        <w:pStyle w:val="BodyText"/>
      </w:pPr>
      <w:r>
        <w:t xml:space="preserve">The Fund will limit look-through gearing, which takes into account each underlying Property Trust’s borrowing, to no more than 50%. </w:t>
      </w:r>
    </w:p>
    <w:p w14:paraId="64AB88A0" w14:textId="0B04B2FC" w:rsidR="00AE5ACF" w:rsidRDefault="004667B7" w:rsidP="00AE5ACF">
      <w:pPr>
        <w:pStyle w:val="BodyText"/>
      </w:pPr>
      <w:r w:rsidRPr="00A61708">
        <w:t>The</w:t>
      </w:r>
      <w:r w:rsidR="00C734EE" w:rsidRPr="00A61708">
        <w:t xml:space="preserve"> gearing ratio for the Fund </w:t>
      </w:r>
      <w:proofErr w:type="gramStart"/>
      <w:r w:rsidR="00996520" w:rsidRPr="00A61708">
        <w:t>at</w:t>
      </w:r>
      <w:proofErr w:type="gramEnd"/>
      <w:r w:rsidR="00996520" w:rsidRPr="00A61708">
        <w:t xml:space="preserve"> </w:t>
      </w:r>
      <w:r w:rsidR="003A0A63" w:rsidRPr="00A61708">
        <w:t xml:space="preserve">31 </w:t>
      </w:r>
      <w:r w:rsidR="00D92FA7" w:rsidRPr="00A61708">
        <w:t>March 2024</w:t>
      </w:r>
      <w:r w:rsidR="005C059A" w:rsidRPr="00A61708">
        <w:t xml:space="preserve"> </w:t>
      </w:r>
      <w:r w:rsidR="00C734EE" w:rsidRPr="00A61708">
        <w:t xml:space="preserve">was </w:t>
      </w:r>
      <w:r w:rsidR="00D92FA7" w:rsidRPr="00A61708">
        <w:t>46.0</w:t>
      </w:r>
      <w:r w:rsidR="00C734EE" w:rsidRPr="00A61708">
        <w:t xml:space="preserve">% and look-through gearing was </w:t>
      </w:r>
      <w:r w:rsidR="005B52A2" w:rsidRPr="00A61708">
        <w:t>4</w:t>
      </w:r>
      <w:r w:rsidR="00A66AAE" w:rsidRPr="00A61708">
        <w:t>8</w:t>
      </w:r>
      <w:r w:rsidR="005B52A2" w:rsidRPr="00A61708">
        <w:t>.</w:t>
      </w:r>
      <w:r w:rsidR="00D92FA7" w:rsidRPr="00A61708">
        <w:t>8</w:t>
      </w:r>
      <w:r w:rsidR="00C734EE" w:rsidRPr="00A61708">
        <w:t>%</w:t>
      </w:r>
      <w:r w:rsidR="005B74BF" w:rsidRPr="00A61708">
        <w:t xml:space="preserve">. </w:t>
      </w:r>
      <w:r w:rsidRPr="00A61708">
        <w:t>Positions in the Fund are subject to change.</w:t>
      </w:r>
    </w:p>
    <w:p w14:paraId="23A53CCA" w14:textId="77777777" w:rsidR="00AE5ACF" w:rsidRDefault="00AE5ACF" w:rsidP="00AE5ACF">
      <w:pPr>
        <w:pStyle w:val="Heading2"/>
        <w:numPr>
          <w:ilvl w:val="1"/>
          <w:numId w:val="31"/>
        </w:numPr>
      </w:pPr>
      <w:r>
        <w:t>Investment Risk</w:t>
      </w:r>
    </w:p>
    <w:p w14:paraId="1519E2FC" w14:textId="479BA622" w:rsidR="00AE5ACF" w:rsidRDefault="00AE5ACF" w:rsidP="00AE5ACF">
      <w:pPr>
        <w:rPr>
          <w:vertAlign w:val="superscript"/>
          <w:lang w:eastAsia="zh-CN"/>
        </w:rPr>
      </w:pPr>
      <w:r>
        <w:rPr>
          <w:lang w:eastAsia="zh-CN"/>
        </w:rPr>
        <w:t>As with any investment, there are risks in investing in the Cromwell DPF. However, CFM has put in place various strategies such as geographic, sub-sector (within property) and tenant type to minimise risk where possible.</w:t>
      </w:r>
      <w:r w:rsidR="00FA1AC5">
        <w:rPr>
          <w:vertAlign w:val="superscript"/>
          <w:lang w:eastAsia="zh-CN"/>
        </w:rPr>
        <w:t xml:space="preserve"> </w:t>
      </w:r>
    </w:p>
    <w:p w14:paraId="20A3E569" w14:textId="3A746BF0" w:rsidR="007B6AFB" w:rsidRPr="00922776" w:rsidRDefault="003B6AB9" w:rsidP="00922776">
      <w:pPr>
        <w:pStyle w:val="Heading3"/>
        <w:numPr>
          <w:ilvl w:val="0"/>
          <w:numId w:val="0"/>
        </w:numPr>
        <w:ind w:firstLine="709"/>
        <w:rPr>
          <w:color w:val="003C5A" w:themeColor="accent2"/>
          <w:sz w:val="28"/>
        </w:rPr>
      </w:pPr>
      <w:bookmarkStart w:id="4" w:name="_Hlk81488189"/>
      <w:r w:rsidRPr="004D4000">
        <w:rPr>
          <w:color w:val="003C5A" w:themeColor="accent2"/>
          <w:sz w:val="28"/>
        </w:rPr>
        <w:t>Geographic Diversification by Income</w:t>
      </w:r>
      <w:bookmarkEnd w:id="4"/>
    </w:p>
    <w:p w14:paraId="4AA4BCA5" w14:textId="589E3D64" w:rsidR="007B6AFB" w:rsidRDefault="00D92FA7" w:rsidP="0084499C">
      <w:pPr>
        <w:pStyle w:val="BodyText"/>
      </w:pPr>
      <w:r>
        <w:rPr>
          <w:noProof/>
        </w:rPr>
        <w:drawing>
          <wp:inline distT="0" distB="0" distL="0" distR="0" wp14:anchorId="49A60576" wp14:editId="012C5B6F">
            <wp:extent cx="4503195" cy="2565584"/>
            <wp:effectExtent l="0" t="0" r="12065" b="6350"/>
            <wp:docPr id="1228721975" name="Chart 1">
              <a:extLst xmlns:a="http://schemas.openxmlformats.org/drawingml/2006/main">
                <a:ext uri="{FF2B5EF4-FFF2-40B4-BE49-F238E27FC236}">
                  <a16:creationId xmlns:a16="http://schemas.microsoft.com/office/drawing/2014/main" id="{6D945CB9-8150-42E9-8395-61133C0A2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E5D511" w14:textId="77777777" w:rsidR="007B6AFB" w:rsidRPr="0084499C" w:rsidRDefault="007B6AFB" w:rsidP="0084499C">
      <w:pPr>
        <w:pStyle w:val="BodyText"/>
      </w:pPr>
    </w:p>
    <w:p w14:paraId="116AC28B" w14:textId="2E4CA04C" w:rsidR="000661EE" w:rsidRPr="00922776" w:rsidRDefault="00120085" w:rsidP="00922776">
      <w:pPr>
        <w:pStyle w:val="Heading3"/>
        <w:numPr>
          <w:ilvl w:val="0"/>
          <w:numId w:val="0"/>
        </w:numPr>
        <w:ind w:firstLine="709"/>
        <w:rPr>
          <w:color w:val="003C5A" w:themeColor="accent2"/>
          <w:sz w:val="28"/>
        </w:rPr>
      </w:pPr>
      <w:r w:rsidRPr="004D4000">
        <w:rPr>
          <w:color w:val="003C5A" w:themeColor="accent2"/>
          <w:sz w:val="28"/>
        </w:rPr>
        <w:lastRenderedPageBreak/>
        <w:t xml:space="preserve">Tenant </w:t>
      </w:r>
      <w:r w:rsidR="00F61919">
        <w:rPr>
          <w:color w:val="003C5A" w:themeColor="accent2"/>
          <w:sz w:val="28"/>
        </w:rPr>
        <w:t xml:space="preserve">Type </w:t>
      </w:r>
      <w:r w:rsidRPr="004D4000">
        <w:rPr>
          <w:color w:val="003C5A" w:themeColor="accent2"/>
          <w:sz w:val="28"/>
        </w:rPr>
        <w:t>by Income</w:t>
      </w:r>
    </w:p>
    <w:p w14:paraId="47B60D83" w14:textId="6F1ECCB3" w:rsidR="000661EE" w:rsidRPr="0084499C" w:rsidRDefault="00D92FA7" w:rsidP="0084499C">
      <w:pPr>
        <w:pStyle w:val="BodyText"/>
      </w:pPr>
      <w:r>
        <w:rPr>
          <w:noProof/>
        </w:rPr>
        <w:drawing>
          <wp:inline distT="0" distB="0" distL="0" distR="0" wp14:anchorId="0B9FED0F" wp14:editId="11562002">
            <wp:extent cx="4503195" cy="2754406"/>
            <wp:effectExtent l="0" t="0" r="12065" b="8255"/>
            <wp:docPr id="1007567467" name="Chart 1">
              <a:extLst xmlns:a="http://schemas.openxmlformats.org/drawingml/2006/main">
                <a:ext uri="{FF2B5EF4-FFF2-40B4-BE49-F238E27FC236}">
                  <a16:creationId xmlns:a16="http://schemas.microsoft.com/office/drawing/2014/main" id="{8AEED1B8-C60B-45FF-801D-8308F49987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12B37" w14:textId="77777777" w:rsidR="00525CB6" w:rsidRPr="0084499C" w:rsidRDefault="00525CB6" w:rsidP="0084499C">
      <w:pPr>
        <w:pStyle w:val="BodyText"/>
      </w:pPr>
    </w:p>
    <w:p w14:paraId="79F6799A" w14:textId="4A4EC5F6" w:rsidR="00AE5ACF" w:rsidRPr="00D90EE1" w:rsidRDefault="00AE5ACF" w:rsidP="00D90EE1">
      <w:pPr>
        <w:rPr>
          <w:b/>
          <w:bCs/>
          <w:color w:val="FF0000"/>
          <w:sz w:val="24"/>
        </w:rPr>
      </w:pPr>
      <w:r w:rsidRPr="00317DE2">
        <w:rPr>
          <w:b/>
          <w:bCs/>
          <w:color w:val="FF0000"/>
          <w:sz w:val="24"/>
        </w:rPr>
        <w:t>&lt;This may be supplemented by commentary about the investor’s specific circumstances, and how an investment in Cromwell Direct Property Fund meets the client’s portfolio diversification requirements.&gt;</w:t>
      </w:r>
    </w:p>
    <w:p w14:paraId="7FA414AF" w14:textId="77777777" w:rsidR="00AE5ACF" w:rsidRDefault="00AE5ACF" w:rsidP="00AE5ACF">
      <w:pPr>
        <w:jc w:val="both"/>
      </w:pPr>
    </w:p>
    <w:p w14:paraId="54BA74A2" w14:textId="77777777" w:rsidR="00AE5ACF" w:rsidRPr="00B026CC" w:rsidRDefault="00AE5ACF" w:rsidP="00AE5ACF">
      <w:pPr>
        <w:rPr>
          <w:lang w:val="en-US"/>
        </w:rPr>
      </w:pPr>
    </w:p>
    <w:p w14:paraId="10195CD2" w14:textId="77777777" w:rsidR="00AE5ACF" w:rsidRPr="007F3847" w:rsidRDefault="00AE5ACF" w:rsidP="00AE5ACF">
      <w:pPr>
        <w:jc w:val="both"/>
      </w:pPr>
    </w:p>
    <w:p w14:paraId="380AA255" w14:textId="77777777" w:rsidR="00C52E63" w:rsidRPr="00903243" w:rsidRDefault="00C52E63" w:rsidP="00903243"/>
    <w:sectPr w:rsidR="00C52E63" w:rsidRPr="00903243" w:rsidSect="006170E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130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C4D" w14:textId="77777777" w:rsidR="006170EF" w:rsidRDefault="006170EF" w:rsidP="00185154">
      <w:r>
        <w:separator/>
      </w:r>
    </w:p>
    <w:p w14:paraId="75431A3B" w14:textId="77777777" w:rsidR="006170EF" w:rsidRDefault="006170EF"/>
  </w:endnote>
  <w:endnote w:type="continuationSeparator" w:id="0">
    <w:p w14:paraId="2EDA86D4" w14:textId="77777777" w:rsidR="006170EF" w:rsidRDefault="006170EF" w:rsidP="00185154">
      <w:r>
        <w:continuationSeparator/>
      </w:r>
    </w:p>
    <w:p w14:paraId="10733003" w14:textId="77777777" w:rsidR="006170EF" w:rsidRDefault="00617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CB61" w14:textId="77777777" w:rsidR="00F325FF" w:rsidRDefault="00F3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069" w14:textId="77777777" w:rsidR="00BA45AE" w:rsidRPr="009B26CC" w:rsidRDefault="003A08A5" w:rsidP="003A08A5">
    <w:pPr>
      <w:pStyle w:val="Footer"/>
    </w:pPr>
    <w:r w:rsidRPr="009B26CC">
      <w:rPr>
        <w:noProof/>
      </w:rPr>
      <mc:AlternateContent>
        <mc:Choice Requires="wps">
          <w:drawing>
            <wp:anchor distT="0" distB="0" distL="114300" distR="114300" simplePos="0" relativeHeight="251657728" behindDoc="0" locked="0" layoutInCell="1" allowOverlap="1" wp14:anchorId="7C057EC8" wp14:editId="79DDC29A">
              <wp:simplePos x="0" y="0"/>
              <wp:positionH relativeFrom="margin">
                <wp:posOffset>4652645</wp:posOffset>
              </wp:positionH>
              <wp:positionV relativeFrom="page">
                <wp:posOffset>10144125</wp:posOffset>
              </wp:positionV>
              <wp:extent cx="1106805" cy="468000"/>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1106805"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E0DE2" w14:textId="77777777" w:rsidR="003A08A5" w:rsidRPr="00410B10" w:rsidRDefault="00410B10" w:rsidP="00410B10">
                          <w:pPr>
                            <w:jc w:val="right"/>
                            <w:rPr>
                              <w:color w:val="71C5E8" w:themeColor="accent3"/>
                              <w:sz w:val="16"/>
                            </w:rPr>
                          </w:pPr>
                          <w:r w:rsidRPr="00410B10">
                            <w:rPr>
                              <w:color w:val="71C5E8" w:themeColor="accent3"/>
                              <w:sz w:val="16"/>
                            </w:rPr>
                            <w:t xml:space="preserve">Page </w:t>
                          </w:r>
                          <w:r w:rsidR="003A08A5" w:rsidRPr="00410B10">
                            <w:rPr>
                              <w:color w:val="71C5E8" w:themeColor="accent3"/>
                              <w:sz w:val="16"/>
                            </w:rPr>
                            <w:fldChar w:fldCharType="begin"/>
                          </w:r>
                          <w:r w:rsidR="003A08A5" w:rsidRPr="00410B10">
                            <w:rPr>
                              <w:color w:val="71C5E8" w:themeColor="accent3"/>
                              <w:sz w:val="16"/>
                            </w:rPr>
                            <w:instrText xml:space="preserve"> PAGE  \* Arabic  \* MERGEFORMAT </w:instrText>
                          </w:r>
                          <w:r w:rsidR="003A08A5" w:rsidRPr="00410B10">
                            <w:rPr>
                              <w:color w:val="71C5E8" w:themeColor="accent3"/>
                              <w:sz w:val="16"/>
                            </w:rPr>
                            <w:fldChar w:fldCharType="separate"/>
                          </w:r>
                          <w:r w:rsidR="00AE5ACF">
                            <w:rPr>
                              <w:noProof/>
                              <w:color w:val="71C5E8" w:themeColor="accent3"/>
                              <w:sz w:val="16"/>
                            </w:rPr>
                            <w:t>3</w:t>
                          </w:r>
                          <w:r w:rsidR="003A08A5" w:rsidRPr="00410B10">
                            <w:rPr>
                              <w:color w:val="71C5E8" w:themeColor="accent3"/>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57EC8" id="_x0000_t202" coordsize="21600,21600" o:spt="202" path="m,l,21600r21600,l21600,xe">
              <v:stroke joinstyle="miter"/>
              <v:path gradientshapeok="t" o:connecttype="rect"/>
            </v:shapetype>
            <v:shape id="Text Box 10" o:spid="_x0000_s1026" type="#_x0000_t202" style="position:absolute;left:0;text-align:left;margin-left:366.35pt;margin-top:798.75pt;width:87.15pt;height:3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" filled="f" stroked="f" strokeweight=".5pt">
              <v:textbox inset="0,0,0,0">
                <w:txbxContent>
                  <w:p w14:paraId="0EEE0DE2" w14:textId="77777777" w:rsidR="003A08A5" w:rsidRPr="00410B10" w:rsidRDefault="00410B10" w:rsidP="00410B10">
                    <w:pPr>
                      <w:jc w:val="right"/>
                      <w:rPr>
                        <w:color w:val="71C5E8" w:themeColor="accent3"/>
                        <w:sz w:val="16"/>
                      </w:rPr>
                    </w:pPr>
                    <w:r w:rsidRPr="00410B10">
                      <w:rPr>
                        <w:color w:val="71C5E8" w:themeColor="accent3"/>
                        <w:sz w:val="16"/>
                      </w:rPr>
                      <w:t xml:space="preserve">Page </w:t>
                    </w:r>
                    <w:r w:rsidR="003A08A5" w:rsidRPr="00410B10">
                      <w:rPr>
                        <w:color w:val="71C5E8" w:themeColor="accent3"/>
                        <w:sz w:val="16"/>
                      </w:rPr>
                      <w:fldChar w:fldCharType="begin"/>
                    </w:r>
                    <w:r w:rsidR="003A08A5" w:rsidRPr="00410B10">
                      <w:rPr>
                        <w:color w:val="71C5E8" w:themeColor="accent3"/>
                        <w:sz w:val="16"/>
                      </w:rPr>
                      <w:instrText xml:space="preserve"> PAGE  \* Arabic  \* MERGEFORMAT </w:instrText>
                    </w:r>
                    <w:r w:rsidR="003A08A5" w:rsidRPr="00410B10">
                      <w:rPr>
                        <w:color w:val="71C5E8" w:themeColor="accent3"/>
                        <w:sz w:val="16"/>
                      </w:rPr>
                      <w:fldChar w:fldCharType="separate"/>
                    </w:r>
                    <w:r w:rsidR="00AE5ACF">
                      <w:rPr>
                        <w:noProof/>
                        <w:color w:val="71C5E8" w:themeColor="accent3"/>
                        <w:sz w:val="16"/>
                      </w:rPr>
                      <w:t>3</w:t>
                    </w:r>
                    <w:r w:rsidR="003A08A5" w:rsidRPr="00410B10">
                      <w:rPr>
                        <w:color w:val="71C5E8" w:themeColor="accent3"/>
                        <w:sz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8B44" w14:textId="77777777" w:rsidR="00F325FF" w:rsidRDefault="00F3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E0D6" w14:textId="77777777" w:rsidR="006170EF" w:rsidRDefault="006170EF" w:rsidP="00185154">
      <w:r>
        <w:separator/>
      </w:r>
    </w:p>
    <w:p w14:paraId="17395B52" w14:textId="77777777" w:rsidR="006170EF" w:rsidRDefault="006170EF"/>
  </w:footnote>
  <w:footnote w:type="continuationSeparator" w:id="0">
    <w:p w14:paraId="218BC2E7" w14:textId="77777777" w:rsidR="006170EF" w:rsidRDefault="006170EF" w:rsidP="00185154">
      <w:r>
        <w:continuationSeparator/>
      </w:r>
    </w:p>
    <w:p w14:paraId="09C0E818" w14:textId="77777777" w:rsidR="006170EF" w:rsidRDefault="006170EF"/>
  </w:footnote>
  <w:footnote w:id="1">
    <w:p w14:paraId="4B7F8934" w14:textId="6189504C" w:rsidR="00B72B54" w:rsidRDefault="00B72B54">
      <w:pPr>
        <w:pStyle w:val="FootnoteText"/>
      </w:pPr>
      <w:r>
        <w:rPr>
          <w:rStyle w:val="FootnoteReference"/>
        </w:rPr>
        <w:footnoteRef/>
      </w:r>
      <w:r>
        <w:t xml:space="preserve"> Capital growth and income distributions are not guaranteed and are subject to the assumptions and risks contained in the PDS.</w:t>
      </w:r>
      <w:r w:rsidR="004667B7">
        <w:t xml:space="preserve"> Past performance is not a reliable indicator of future performance.</w:t>
      </w:r>
    </w:p>
    <w:p w14:paraId="4DB7EFEB" w14:textId="77777777" w:rsidR="000557D8" w:rsidRPr="000557D8" w:rsidRDefault="0028588B" w:rsidP="000557D8">
      <w:pPr>
        <w:pStyle w:val="FootnoteText"/>
      </w:pPr>
      <w:r w:rsidRPr="000557D8">
        <w:rPr>
          <w:vertAlign w:val="subscript"/>
        </w:rPr>
        <w:t xml:space="preserve">2 </w:t>
      </w:r>
      <w:r w:rsidR="000557D8" w:rsidRPr="000557D8">
        <w:t xml:space="preserve">Distributions were reduced to 4.75cpu as </w:t>
      </w:r>
      <w:proofErr w:type="gramStart"/>
      <w:r w:rsidR="000557D8" w:rsidRPr="000557D8">
        <w:t>at</w:t>
      </w:r>
      <w:proofErr w:type="gramEnd"/>
      <w:r w:rsidR="000557D8" w:rsidRPr="000557D8">
        <w:t xml:space="preserve"> 1st January 2024</w:t>
      </w:r>
    </w:p>
    <w:p w14:paraId="7F4F74DE" w14:textId="247BEA82" w:rsidR="0028588B" w:rsidRPr="000557D8" w:rsidRDefault="0028588B">
      <w:pPr>
        <w:pStyle w:val="FootnoteText"/>
        <w:rPr>
          <w:vertAlign w:val="subscript"/>
        </w:rPr>
      </w:pPr>
    </w:p>
    <w:p w14:paraId="0AB8CF83" w14:textId="77777777" w:rsidR="0028588B" w:rsidRDefault="0028588B">
      <w:pPr>
        <w:pStyle w:val="FootnoteText"/>
      </w:pPr>
    </w:p>
    <w:p w14:paraId="0F934344" w14:textId="77777777" w:rsidR="0028588B" w:rsidRDefault="0028588B">
      <w:pPr>
        <w:pStyle w:val="FootnoteText"/>
      </w:pPr>
    </w:p>
    <w:p w14:paraId="476D2FBB" w14:textId="77777777" w:rsidR="0028588B" w:rsidRDefault="0028588B">
      <w:pPr>
        <w:pStyle w:val="FootnoteText"/>
      </w:pPr>
    </w:p>
    <w:p w14:paraId="49234347" w14:textId="77777777" w:rsidR="0028588B" w:rsidRDefault="0028588B">
      <w:pPr>
        <w:pStyle w:val="FootnoteText"/>
      </w:pPr>
    </w:p>
    <w:p w14:paraId="613F9E13" w14:textId="77777777" w:rsidR="0028588B" w:rsidRDefault="0028588B">
      <w:pPr>
        <w:pStyle w:val="FootnoteText"/>
      </w:pPr>
    </w:p>
  </w:footnote>
  <w:footnote w:id="2">
    <w:p w14:paraId="204F40DC" w14:textId="156FBF53" w:rsidR="000557D8" w:rsidRPr="00A61708" w:rsidRDefault="004D070A" w:rsidP="000557D8">
      <w:pPr>
        <w:pStyle w:val="FootnoteText"/>
      </w:pPr>
      <w:r w:rsidRPr="00A61708">
        <w:rPr>
          <w:rStyle w:val="FootnoteReference"/>
        </w:rPr>
        <w:t>1</w:t>
      </w:r>
      <w:r w:rsidRPr="00A61708">
        <w:t xml:space="preserve"> </w:t>
      </w:r>
      <w:r w:rsidR="000557D8" w:rsidRPr="00A61708">
        <w:t xml:space="preserve">Distributions were reduced to 4.75cpu as </w:t>
      </w:r>
      <w:proofErr w:type="gramStart"/>
      <w:r w:rsidR="000557D8" w:rsidRPr="00A61708">
        <w:t>at</w:t>
      </w:r>
      <w:proofErr w:type="gramEnd"/>
      <w:r w:rsidR="000557D8" w:rsidRPr="00A61708">
        <w:t xml:space="preserve"> 1</w:t>
      </w:r>
      <w:r w:rsidR="000557D8" w:rsidRPr="00A61708">
        <w:rPr>
          <w:vertAlign w:val="superscript"/>
        </w:rPr>
        <w:t>st</w:t>
      </w:r>
      <w:r w:rsidR="000557D8" w:rsidRPr="00A61708">
        <w:t xml:space="preserve"> January 2024</w:t>
      </w:r>
    </w:p>
    <w:p w14:paraId="76BF6215" w14:textId="52559F83" w:rsidR="00B72B54" w:rsidRPr="00A61708" w:rsidRDefault="000557D8" w:rsidP="000557D8">
      <w:pPr>
        <w:pStyle w:val="FootnoteText"/>
        <w:ind w:left="0" w:firstLine="0"/>
      </w:pPr>
      <w:r w:rsidRPr="00A61708">
        <w:tab/>
      </w:r>
      <w:r w:rsidRPr="00A61708">
        <w:tab/>
      </w:r>
      <w:r w:rsidR="004D070A" w:rsidRPr="00A61708">
        <w:rPr>
          <w:rStyle w:val="FootnoteReference"/>
        </w:rPr>
        <w:footnoteRef/>
      </w:r>
      <w:r w:rsidR="004D070A" w:rsidRPr="00A61708">
        <w:t xml:space="preserve"> As </w:t>
      </w:r>
      <w:proofErr w:type="gramStart"/>
      <w:r w:rsidR="004D070A" w:rsidRPr="00A61708">
        <w:t>at</w:t>
      </w:r>
      <w:proofErr w:type="gramEnd"/>
      <w:r w:rsidR="004D070A" w:rsidRPr="00A61708">
        <w:t xml:space="preserve"> </w:t>
      </w:r>
      <w:r w:rsidR="003A0A63" w:rsidRPr="00A61708">
        <w:t xml:space="preserve">31 </w:t>
      </w:r>
      <w:r w:rsidR="00307351" w:rsidRPr="00A61708">
        <w:t>March</w:t>
      </w:r>
      <w:r w:rsidR="003A0A63" w:rsidRPr="00A61708">
        <w:t xml:space="preserve"> 202</w:t>
      </w:r>
      <w:r w:rsidR="00266B2E" w:rsidRPr="00A61708">
        <w:t>4</w:t>
      </w:r>
      <w:r w:rsidR="004D070A" w:rsidRPr="00A61708">
        <w:t xml:space="preserve">. </w:t>
      </w:r>
      <w:r w:rsidR="00B72B54" w:rsidRPr="00A61708">
        <w:t>Positions in the Fund are subject to change.</w:t>
      </w:r>
    </w:p>
  </w:footnote>
  <w:footnote w:id="3">
    <w:p w14:paraId="2722C9CC" w14:textId="4C24EB6E" w:rsidR="00B72B54" w:rsidRPr="004B2E67" w:rsidRDefault="00B72B54" w:rsidP="0090241D">
      <w:pPr>
        <w:pStyle w:val="FootnoteText"/>
        <w:rPr>
          <w:highlight w:val="yellow"/>
        </w:rPr>
      </w:pPr>
      <w:r w:rsidRPr="00A61708">
        <w:rPr>
          <w:rStyle w:val="FootnoteReference"/>
        </w:rPr>
        <w:footnoteRef/>
      </w:r>
      <w:r w:rsidRPr="00A61708">
        <w:t xml:space="preserve"> </w:t>
      </w:r>
      <w:r w:rsidR="0090241D" w:rsidRPr="00A61708">
        <w:t xml:space="preserve">Calculated on a “look-through” gross passing income basis. Calculated using the Fund’s monthly management accounts as </w:t>
      </w:r>
      <w:proofErr w:type="gramStart"/>
      <w:r w:rsidR="0090241D" w:rsidRPr="00A61708">
        <w:t>at</w:t>
      </w:r>
      <w:proofErr w:type="gramEnd"/>
      <w:r w:rsidR="0090241D" w:rsidRPr="00A61708">
        <w:t xml:space="preserve"> </w:t>
      </w:r>
      <w:r w:rsidR="003A0A63" w:rsidRPr="00A61708">
        <w:t>31</w:t>
      </w:r>
      <w:r w:rsidR="00307351" w:rsidRPr="00A61708">
        <w:t xml:space="preserve"> March</w:t>
      </w:r>
      <w:r w:rsidR="003A0A63" w:rsidRPr="00A61708">
        <w:t xml:space="preserve"> 2023</w:t>
      </w:r>
    </w:p>
  </w:footnote>
  <w:footnote w:id="4">
    <w:p w14:paraId="7CA46ED9" w14:textId="4D246025" w:rsidR="00B72B54" w:rsidRDefault="00B72B54">
      <w:pPr>
        <w:pStyle w:val="FootnoteText"/>
      </w:pPr>
      <w:r w:rsidRPr="00A61708">
        <w:rPr>
          <w:rStyle w:val="FootnoteReference"/>
        </w:rPr>
        <w:footnoteRef/>
      </w:r>
      <w:r w:rsidR="004667B7" w:rsidRPr="00A61708">
        <w:rPr>
          <w:lang w:val="en-US"/>
        </w:rPr>
        <w:t xml:space="preserve">As </w:t>
      </w:r>
      <w:proofErr w:type="gramStart"/>
      <w:r w:rsidR="004667B7" w:rsidRPr="00A61708">
        <w:rPr>
          <w:lang w:val="en-US"/>
        </w:rPr>
        <w:t>at</w:t>
      </w:r>
      <w:proofErr w:type="gramEnd"/>
      <w:r w:rsidR="004667B7" w:rsidRPr="00A61708">
        <w:rPr>
          <w:lang w:val="en-US"/>
        </w:rPr>
        <w:t xml:space="preserve"> </w:t>
      </w:r>
      <w:r w:rsidR="003A0A63" w:rsidRPr="00A61708">
        <w:t xml:space="preserve">31 </w:t>
      </w:r>
      <w:r w:rsidR="00D92FA7" w:rsidRPr="00A61708">
        <w:t>March 2024</w:t>
      </w:r>
      <w:r w:rsidR="004667B7" w:rsidRPr="00A61708">
        <w:t>.</w:t>
      </w:r>
      <w:r w:rsidRPr="00A61708">
        <w:t xml:space="preserve"> Positions in the Fund are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99BD" w14:textId="77777777" w:rsidR="00F325FF" w:rsidRDefault="00F3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8A0A" w14:textId="77777777" w:rsidR="008D505A" w:rsidRPr="00573A3B" w:rsidRDefault="00AE5ACF" w:rsidP="00A624CF">
    <w:pPr>
      <w:pStyle w:val="Header"/>
    </w:pPr>
    <w:r>
      <w:rPr>
        <w:noProof/>
      </w:rPr>
      <w:drawing>
        <wp:anchor distT="0" distB="0" distL="114300" distR="114300" simplePos="0" relativeHeight="251661824" behindDoc="1" locked="0" layoutInCell="1" allowOverlap="1" wp14:anchorId="64876ACF" wp14:editId="3A196A08">
          <wp:simplePos x="0" y="0"/>
          <wp:positionH relativeFrom="margin">
            <wp:align>right</wp:align>
          </wp:positionH>
          <wp:positionV relativeFrom="page">
            <wp:posOffset>431800</wp:posOffset>
          </wp:positionV>
          <wp:extent cx="1544320" cy="509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omwell Logo-2016"/>
                  <pic:cNvPicPr/>
                </pic:nvPicPr>
                <pic:blipFill>
                  <a:blip r:embed="rId1"/>
                  <a:stretch>
                    <a:fillRect/>
                  </a:stretch>
                </pic:blipFill>
                <pic:spPr bwMode="auto">
                  <a:xfrm>
                    <a:off x="0" y="0"/>
                    <a:ext cx="1544400" cy="50937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le"/>
        <w:tag w:val=""/>
        <w:id w:val="1719868243"/>
        <w:dataBinding w:prefixMappings="xmlns:ns0='http://purl.org/dc/elements/1.1/' xmlns:ns1='http://schemas.openxmlformats.org/package/2006/metadata/core-properties' " w:xpath="/ns1:coreProperties[1]/ns0:title[1]" w:storeItemID="{6C3C8BC8-F283-45AE-878A-BAB7291924A1}"/>
        <w:text/>
      </w:sdtPr>
      <w:sdtContent>
        <w:r>
          <w:t>Cromwell Direct Property Fund – Summary of Information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151" w14:textId="77777777" w:rsidR="00F325FF" w:rsidRDefault="00F3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01E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28C5"/>
    <w:multiLevelType w:val="multilevel"/>
    <w:tmpl w:val="64A2045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7284AE9"/>
    <w:multiLevelType w:val="multilevel"/>
    <w:tmpl w:val="9AEE0F7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71C5E8" w:themeColor="accent3"/>
        <w:sz w:val="20"/>
      </w:rPr>
    </w:lvl>
    <w:lvl w:ilvl="1">
      <w:start w:val="1"/>
      <w:numFmt w:val="lowerRoman"/>
      <w:pStyle w:val="ListAlpha2"/>
      <w:lvlText w:val="%2)"/>
      <w:lvlJc w:val="left"/>
      <w:pPr>
        <w:tabs>
          <w:tab w:val="num" w:pos="850"/>
        </w:tabs>
        <w:ind w:left="850" w:hanging="425"/>
      </w:pPr>
      <w:rPr>
        <w:rFonts w:asciiTheme="minorHAnsi" w:hAnsiTheme="minorHAnsi" w:hint="default"/>
        <w:color w:val="71C5E8" w:themeColor="accent3"/>
      </w:rPr>
    </w:lvl>
    <w:lvl w:ilvl="2">
      <w:start w:val="1"/>
      <w:numFmt w:val="upperLetter"/>
      <w:pStyle w:val="ListAlpha3"/>
      <w:lvlText w:val="%3)"/>
      <w:lvlJc w:val="left"/>
      <w:pPr>
        <w:tabs>
          <w:tab w:val="num" w:pos="1275"/>
        </w:tabs>
        <w:ind w:left="1275" w:hanging="425"/>
      </w:pPr>
      <w:rPr>
        <w:rFonts w:asciiTheme="minorHAnsi" w:hAnsiTheme="minorHAnsi" w:hint="default"/>
        <w:color w:val="71C5E8" w:themeColor="accent3"/>
        <w:sz w:val="20"/>
      </w:rPr>
    </w:lvl>
    <w:lvl w:ilvl="3">
      <w:start w:val="1"/>
      <w:numFmt w:val="upperRoman"/>
      <w:pStyle w:val="ListAlpha4"/>
      <w:lvlText w:val="%4)"/>
      <w:lvlJc w:val="left"/>
      <w:pPr>
        <w:tabs>
          <w:tab w:val="num" w:pos="1700"/>
        </w:tabs>
        <w:ind w:left="1700" w:hanging="425"/>
      </w:pPr>
      <w:rPr>
        <w:rFonts w:asciiTheme="minorHAnsi" w:hAnsiTheme="minorHAnsi" w:hint="default"/>
        <w:color w:val="71C5E8" w:themeColor="accent3"/>
        <w:sz w:val="20"/>
      </w:rPr>
    </w:lvl>
    <w:lvl w:ilvl="4">
      <w:start w:val="1"/>
      <w:numFmt w:val="decimal"/>
      <w:pStyle w:val="ListAlpha5"/>
      <w:lvlText w:val="%5."/>
      <w:lvlJc w:val="left"/>
      <w:pPr>
        <w:tabs>
          <w:tab w:val="num" w:pos="2125"/>
        </w:tabs>
        <w:ind w:left="2125" w:hanging="425"/>
      </w:pPr>
      <w:rPr>
        <w:rFonts w:asciiTheme="minorHAnsi" w:hAnsiTheme="minorHAnsi" w:hint="default"/>
        <w:color w:val="71C5E8" w:themeColor="accent3"/>
        <w:sz w:val="20"/>
      </w:rPr>
    </w:lvl>
    <w:lvl w:ilvl="5">
      <w:start w:val="1"/>
      <w:numFmt w:val="lowerLetter"/>
      <w:pStyle w:val="ListAlpha6"/>
      <w:lvlText w:val="%6)"/>
      <w:lvlJc w:val="left"/>
      <w:pPr>
        <w:tabs>
          <w:tab w:val="num" w:pos="2550"/>
        </w:tabs>
        <w:ind w:left="2550" w:hanging="425"/>
      </w:pPr>
      <w:rPr>
        <w:rFonts w:asciiTheme="minorHAnsi" w:hAnsiTheme="minorHAnsi" w:hint="default"/>
        <w:color w:val="71C5E8" w:themeColor="accent3"/>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71C5E8" w:themeColor="accent3"/>
        <w:sz w:val="20"/>
      </w:rPr>
    </w:lvl>
    <w:lvl w:ilvl="1">
      <w:start w:val="1"/>
      <w:numFmt w:val="bullet"/>
      <w:pStyle w:val="TableBullet2"/>
      <w:lvlText w:val="–"/>
      <w:lvlJc w:val="left"/>
      <w:pPr>
        <w:tabs>
          <w:tab w:val="num" w:pos="680"/>
        </w:tabs>
        <w:ind w:left="680" w:hanging="283"/>
      </w:pPr>
      <w:rPr>
        <w:rFonts w:ascii="Arial" w:hAnsi="Arial" w:hint="default"/>
        <w:color w:val="71C5E8" w:themeColor="accent3"/>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42C086A"/>
    <w:multiLevelType w:val="multilevel"/>
    <w:tmpl w:val="CA8C1366"/>
    <w:lvl w:ilvl="0">
      <w:start w:val="1"/>
      <w:numFmt w:val="decimal"/>
      <w:lvlText w:val="%1."/>
      <w:lvlJc w:val="left"/>
      <w:pPr>
        <w:tabs>
          <w:tab w:val="num" w:pos="1276"/>
        </w:tabs>
        <w:ind w:left="1276" w:hanging="1276"/>
      </w:pPr>
      <w:rPr>
        <w:rFonts w:asciiTheme="majorHAnsi" w:hAnsiTheme="majorHAnsi" w:hint="default"/>
        <w:color w:val="005EB8" w:themeColor="accent1"/>
      </w:rPr>
    </w:lvl>
    <w:lvl w:ilvl="1">
      <w:start w:val="1"/>
      <w:numFmt w:val="decimal"/>
      <w:lvlText w:val="%1.%2"/>
      <w:lvlJc w:val="left"/>
      <w:pPr>
        <w:tabs>
          <w:tab w:val="num" w:pos="1276"/>
        </w:tabs>
        <w:ind w:left="1276" w:hanging="1276"/>
      </w:pPr>
      <w:rPr>
        <w:rFonts w:asciiTheme="majorHAnsi" w:hAnsiTheme="majorHAnsi" w:hint="default"/>
        <w:color w:val="71C5E8" w:themeColor="accent3"/>
      </w:rPr>
    </w:lvl>
    <w:lvl w:ilvl="2">
      <w:start w:val="1"/>
      <w:numFmt w:val="decimal"/>
      <w:lvlText w:val="%1.%2.%3"/>
      <w:lvlJc w:val="left"/>
      <w:pPr>
        <w:tabs>
          <w:tab w:val="num" w:pos="1276"/>
        </w:tabs>
        <w:ind w:left="1276" w:hanging="1276"/>
      </w:pPr>
      <w:rPr>
        <w:rFonts w:asciiTheme="majorHAnsi" w:hAnsiTheme="majorHAnsi" w:hint="default"/>
        <w:color w:val="005EB8" w:themeColor="accent1"/>
      </w:rPr>
    </w:lvl>
    <w:lvl w:ilvl="3">
      <w:start w:val="1"/>
      <w:numFmt w:val="decimal"/>
      <w:lvlText w:val="%1.%2.%3.%4"/>
      <w:lvlJc w:val="left"/>
      <w:pPr>
        <w:tabs>
          <w:tab w:val="num" w:pos="1276"/>
        </w:tabs>
        <w:ind w:left="1276" w:hanging="1276"/>
      </w:pPr>
      <w:rPr>
        <w:rFonts w:asciiTheme="majorHAnsi" w:hAnsiTheme="majorHAnsi" w:hint="default"/>
        <w:color w:val="005EB8" w:themeColor="accent1"/>
        <w:sz w:val="24"/>
      </w:rPr>
    </w:lvl>
    <w:lvl w:ilvl="4">
      <w:start w:val="1"/>
      <w:numFmt w:val="decimal"/>
      <w:lvlText w:val="%1.%2.%3.%4.%5"/>
      <w:lvlJc w:val="left"/>
      <w:pPr>
        <w:tabs>
          <w:tab w:val="num" w:pos="1276"/>
        </w:tabs>
        <w:ind w:left="1276" w:hanging="1276"/>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5" w15:restartNumberingAfterBreak="0">
    <w:nsid w:val="1F9F3F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CE3722"/>
    <w:multiLevelType w:val="multilevel"/>
    <w:tmpl w:val="C32A9998"/>
    <w:lvl w:ilvl="0">
      <w:start w:val="1"/>
      <w:numFmt w:val="decimal"/>
      <w:lvlText w:val="%1"/>
      <w:lvlJc w:val="left"/>
      <w:pPr>
        <w:tabs>
          <w:tab w:val="num" w:pos="709"/>
        </w:tabs>
        <w:ind w:left="709" w:hanging="709"/>
      </w:pPr>
      <w:rPr>
        <w:rFonts w:ascii="Tahoma" w:hAnsi="Tahoma" w:cs="Tahoma" w:hint="default"/>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cs="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741D40"/>
    <w:multiLevelType w:val="multilevel"/>
    <w:tmpl w:val="0CC2ADD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71C5E8" w:themeColor="accent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71C5E8" w:themeColor="accent3"/>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71C5E8" w:themeColor="accent3"/>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71C5E8" w:themeColor="accent3"/>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71C5E8" w:themeColor="accent3"/>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71C5E8" w:themeColor="accent3"/>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2589277B"/>
    <w:multiLevelType w:val="multilevel"/>
    <w:tmpl w:val="CC184310"/>
    <w:numStyleLink w:val="ListTableNumber"/>
  </w:abstractNum>
  <w:abstractNum w:abstractNumId="9" w15:restartNumberingAfterBreak="0">
    <w:nsid w:val="272627A4"/>
    <w:multiLevelType w:val="multilevel"/>
    <w:tmpl w:val="0CC2ADD8"/>
    <w:numStyleLink w:val="ListNumber"/>
  </w:abstractNum>
  <w:abstractNum w:abstractNumId="10" w15:restartNumberingAfterBreak="0">
    <w:nsid w:val="292D5CDA"/>
    <w:multiLevelType w:val="multilevel"/>
    <w:tmpl w:val="9AEE0F72"/>
    <w:numStyleLink w:val="ListAlpha"/>
  </w:abstractNum>
  <w:abstractNum w:abstractNumId="11" w15:restartNumberingAfterBreak="0">
    <w:nsid w:val="353912ED"/>
    <w:multiLevelType w:val="multilevel"/>
    <w:tmpl w:val="1952AC3A"/>
    <w:styleLink w:val="ListBullet"/>
    <w:lvl w:ilvl="0">
      <w:start w:val="1"/>
      <w:numFmt w:val="bullet"/>
      <w:pStyle w:val="ListBullet0"/>
      <w:lvlText w:val=""/>
      <w:lvlJc w:val="left"/>
      <w:pPr>
        <w:tabs>
          <w:tab w:val="num" w:pos="425"/>
        </w:tabs>
        <w:ind w:left="425" w:hanging="425"/>
      </w:pPr>
      <w:rPr>
        <w:rFonts w:ascii="Symbol" w:hAnsi="Symbol" w:hint="default"/>
        <w:b w:val="0"/>
        <w:i w:val="0"/>
        <w:color w:val="71C5E8" w:themeColor="accent3"/>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71C5E8" w:themeColor="accent3"/>
        <w:sz w:val="20"/>
        <w:u w:val="none"/>
        <w:vertAlign w:val="baseline"/>
      </w:rPr>
    </w:lvl>
    <w:lvl w:ilvl="2">
      <w:start w:val="1"/>
      <w:numFmt w:val="bullet"/>
      <w:pStyle w:val="ListBullet3"/>
      <w:lvlText w:val=""/>
      <w:lvlJc w:val="left"/>
      <w:pPr>
        <w:tabs>
          <w:tab w:val="num" w:pos="1275"/>
        </w:tabs>
        <w:ind w:left="1275" w:hanging="425"/>
      </w:pPr>
      <w:rPr>
        <w:rFonts w:ascii="Symbol" w:hAnsi="Symbol" w:hint="default"/>
        <w:color w:val="71C5E8" w:themeColor="accent3"/>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71C5E8" w:themeColor="accent3"/>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71C5E8" w:themeColor="accent3"/>
        <w:sz w:val="20"/>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71C5E8" w:themeColor="accent3"/>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2" w15:restartNumberingAfterBreak="0">
    <w:nsid w:val="3695318B"/>
    <w:multiLevelType w:val="hybridMultilevel"/>
    <w:tmpl w:val="DFB6F35C"/>
    <w:lvl w:ilvl="0" w:tplc="3BE8BA66">
      <w:start w:val="1"/>
      <w:numFmt w:val="decimal"/>
      <w:lvlText w:val="%1."/>
      <w:lvlJc w:val="left"/>
      <w:pPr>
        <w:ind w:left="720" w:hanging="360"/>
      </w:pPr>
      <w:rPr>
        <w:rFonts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834E3D"/>
    <w:multiLevelType w:val="multilevel"/>
    <w:tmpl w:val="1952AC3A"/>
    <w:numStyleLink w:val="ListBullet"/>
  </w:abstractNum>
  <w:abstractNum w:abstractNumId="14" w15:restartNumberingAfterBreak="0">
    <w:nsid w:val="40071FAE"/>
    <w:multiLevelType w:val="multilevel"/>
    <w:tmpl w:val="D834D916"/>
    <w:styleLink w:val="ListNumberedHeadings"/>
    <w:lvl w:ilvl="0">
      <w:start w:val="1"/>
      <w:numFmt w:val="decimal"/>
      <w:lvlText w:val="%1."/>
      <w:lvlJc w:val="left"/>
      <w:pPr>
        <w:tabs>
          <w:tab w:val="num" w:pos="709"/>
        </w:tabs>
        <w:ind w:left="709" w:hanging="709"/>
      </w:pPr>
      <w:rPr>
        <w:rFonts w:asciiTheme="majorHAnsi" w:hAnsiTheme="majorHAnsi" w:hint="default"/>
        <w:color w:val="005EB8" w:themeColor="accent1"/>
      </w:rPr>
    </w:lvl>
    <w:lvl w:ilvl="1">
      <w:start w:val="1"/>
      <w:numFmt w:val="decimal"/>
      <w:lvlText w:val="%1.%2"/>
      <w:lvlJc w:val="left"/>
      <w:pPr>
        <w:tabs>
          <w:tab w:val="num" w:pos="709"/>
        </w:tabs>
        <w:ind w:left="709" w:hanging="709"/>
      </w:pPr>
      <w:rPr>
        <w:rFonts w:asciiTheme="majorHAnsi" w:hAnsiTheme="majorHAnsi" w:hint="default"/>
        <w:color w:val="71C5E8" w:themeColor="accent3"/>
      </w:rPr>
    </w:lvl>
    <w:lvl w:ilvl="2">
      <w:start w:val="1"/>
      <w:numFmt w:val="decimal"/>
      <w:lvlText w:val="%1.%2.%3"/>
      <w:lvlJc w:val="left"/>
      <w:pPr>
        <w:tabs>
          <w:tab w:val="num" w:pos="709"/>
        </w:tabs>
        <w:ind w:left="709" w:hanging="709"/>
      </w:pPr>
      <w:rPr>
        <w:rFonts w:asciiTheme="majorHAnsi" w:hAnsiTheme="majorHAnsi" w:hint="default"/>
        <w:color w:val="005EB8" w:themeColor="accent1"/>
      </w:rPr>
    </w:lvl>
    <w:lvl w:ilvl="3">
      <w:start w:val="1"/>
      <w:numFmt w:val="decimal"/>
      <w:lvlText w:val="%1.%2.%3.%4"/>
      <w:lvlJc w:val="left"/>
      <w:pPr>
        <w:tabs>
          <w:tab w:val="num" w:pos="1701"/>
        </w:tabs>
        <w:ind w:left="1701" w:hanging="992"/>
      </w:pPr>
      <w:rPr>
        <w:rFonts w:asciiTheme="majorHAnsi" w:hAnsiTheme="majorHAnsi" w:hint="default"/>
        <w:color w:val="005EB8" w:themeColor="accent1"/>
        <w:sz w:val="24"/>
      </w:rPr>
    </w:lvl>
    <w:lvl w:ilvl="4">
      <w:start w:val="1"/>
      <w:numFmt w:val="decimal"/>
      <w:lvlText w:val="%1.%2.%3.%4.%5"/>
      <w:lvlJc w:val="left"/>
      <w:pPr>
        <w:tabs>
          <w:tab w:val="num" w:pos="1701"/>
        </w:tabs>
        <w:ind w:left="1701" w:hanging="992"/>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15" w15:restartNumberingAfterBreak="0">
    <w:nsid w:val="407C12F5"/>
    <w:multiLevelType w:val="multilevel"/>
    <w:tmpl w:val="1952AC3A"/>
    <w:numStyleLink w:val="ListBullet"/>
  </w:abstractNum>
  <w:abstractNum w:abstractNumId="16" w15:restartNumberingAfterBreak="0">
    <w:nsid w:val="41CA20A2"/>
    <w:multiLevelType w:val="multilevel"/>
    <w:tmpl w:val="0CC2ADD8"/>
    <w:numStyleLink w:val="ListNumber"/>
  </w:abstractNum>
  <w:abstractNum w:abstractNumId="17" w15:restartNumberingAfterBreak="0">
    <w:nsid w:val="53D00FD0"/>
    <w:multiLevelType w:val="multilevel"/>
    <w:tmpl w:val="64A2045C"/>
    <w:numStyleLink w:val="ListParagraph"/>
  </w:abstractNum>
  <w:abstractNum w:abstractNumId="18" w15:restartNumberingAfterBreak="0">
    <w:nsid w:val="566644C8"/>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DC04FA6"/>
    <w:multiLevelType w:val="multilevel"/>
    <w:tmpl w:val="D834D916"/>
    <w:lvl w:ilvl="0">
      <w:start w:val="1"/>
      <w:numFmt w:val="decimal"/>
      <w:pStyle w:val="Heading1"/>
      <w:lvlText w:val="%1."/>
      <w:lvlJc w:val="left"/>
      <w:pPr>
        <w:tabs>
          <w:tab w:val="num" w:pos="709"/>
        </w:tabs>
        <w:ind w:left="709" w:hanging="709"/>
      </w:pPr>
      <w:rPr>
        <w:rFonts w:asciiTheme="majorHAnsi" w:hAnsiTheme="majorHAnsi" w:hint="default"/>
        <w:color w:val="005EB8" w:themeColor="accent1"/>
      </w:rPr>
    </w:lvl>
    <w:lvl w:ilvl="1">
      <w:start w:val="1"/>
      <w:numFmt w:val="decimal"/>
      <w:pStyle w:val="Heading2"/>
      <w:lvlText w:val="%1.%2"/>
      <w:lvlJc w:val="left"/>
      <w:pPr>
        <w:tabs>
          <w:tab w:val="num" w:pos="709"/>
        </w:tabs>
        <w:ind w:left="709" w:hanging="709"/>
      </w:pPr>
      <w:rPr>
        <w:rFonts w:asciiTheme="majorHAnsi" w:hAnsiTheme="majorHAnsi" w:hint="default"/>
        <w:color w:val="71C5E8" w:themeColor="accent3"/>
      </w:rPr>
    </w:lvl>
    <w:lvl w:ilvl="2">
      <w:start w:val="1"/>
      <w:numFmt w:val="decimal"/>
      <w:pStyle w:val="Heading3"/>
      <w:lvlText w:val="%1.%2.%3"/>
      <w:lvlJc w:val="left"/>
      <w:pPr>
        <w:tabs>
          <w:tab w:val="num" w:pos="709"/>
        </w:tabs>
        <w:ind w:left="709" w:hanging="709"/>
      </w:pPr>
      <w:rPr>
        <w:rFonts w:asciiTheme="majorHAnsi" w:hAnsiTheme="majorHAnsi" w:hint="default"/>
        <w:color w:val="005EB8" w:themeColor="accent1"/>
      </w:rPr>
    </w:lvl>
    <w:lvl w:ilvl="3">
      <w:start w:val="1"/>
      <w:numFmt w:val="decimal"/>
      <w:pStyle w:val="Heading4"/>
      <w:lvlText w:val="%1.%2.%3.%4"/>
      <w:lvlJc w:val="left"/>
      <w:pPr>
        <w:tabs>
          <w:tab w:val="num" w:pos="1701"/>
        </w:tabs>
        <w:ind w:left="1701" w:hanging="992"/>
      </w:pPr>
      <w:rPr>
        <w:rFonts w:asciiTheme="majorHAnsi" w:hAnsiTheme="majorHAnsi" w:hint="default"/>
        <w:color w:val="005EB8" w:themeColor="accent1"/>
        <w:sz w:val="24"/>
      </w:rPr>
    </w:lvl>
    <w:lvl w:ilvl="4">
      <w:start w:val="1"/>
      <w:numFmt w:val="decimal"/>
      <w:pStyle w:val="Heading5"/>
      <w:lvlText w:val="%1.%2.%3.%4.%5"/>
      <w:lvlJc w:val="left"/>
      <w:pPr>
        <w:tabs>
          <w:tab w:val="num" w:pos="1701"/>
        </w:tabs>
        <w:ind w:left="1701" w:hanging="992"/>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20" w15:restartNumberingAfterBreak="0">
    <w:nsid w:val="626E5373"/>
    <w:multiLevelType w:val="multilevel"/>
    <w:tmpl w:val="CC1843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71C5E8" w:themeColor="accent3"/>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71C5E8" w:themeColor="accent3"/>
        <w:sz w:val="20"/>
        <w:szCs w:val="21"/>
      </w:rPr>
    </w:lvl>
    <w:lvl w:ilvl="2">
      <w:start w:val="1"/>
      <w:numFmt w:val="lowerRoman"/>
      <w:pStyle w:val="TableNumber3"/>
      <w:lvlText w:val="%3)"/>
      <w:lvlJc w:val="left"/>
      <w:pPr>
        <w:tabs>
          <w:tab w:val="num" w:pos="965"/>
        </w:tabs>
        <w:ind w:left="965" w:hanging="284"/>
      </w:pPr>
      <w:rPr>
        <w:rFonts w:ascii="Arial" w:hAnsi="Arial" w:hint="default"/>
        <w:b w:val="0"/>
        <w:i w:val="0"/>
        <w:color w:val="71C5E8" w:themeColor="accent3"/>
        <w:sz w:val="18"/>
      </w:rPr>
    </w:lvl>
    <w:lvl w:ilvl="3">
      <w:start w:val="1"/>
      <w:numFmt w:val="upperLetter"/>
      <w:pStyle w:val="TableNumber4"/>
      <w:lvlText w:val="%4)"/>
      <w:lvlJc w:val="left"/>
      <w:pPr>
        <w:tabs>
          <w:tab w:val="num" w:pos="1247"/>
        </w:tabs>
        <w:ind w:left="1249" w:hanging="284"/>
      </w:pPr>
      <w:rPr>
        <w:rFonts w:ascii="Arial" w:hAnsi="Arial" w:hint="default"/>
        <w:b w:val="0"/>
        <w:i w:val="0"/>
        <w:color w:val="71C5E8" w:themeColor="accent3"/>
        <w:sz w:val="18"/>
      </w:rPr>
    </w:lvl>
    <w:lvl w:ilvl="4">
      <w:start w:val="1"/>
      <w:numFmt w:val="upperRoman"/>
      <w:pStyle w:val="TableNumber5"/>
      <w:lvlText w:val="%5)"/>
      <w:lvlJc w:val="left"/>
      <w:pPr>
        <w:tabs>
          <w:tab w:val="num" w:pos="1531"/>
        </w:tabs>
        <w:ind w:left="1533" w:hanging="284"/>
      </w:pPr>
      <w:rPr>
        <w:rFonts w:ascii="Arial" w:hAnsi="Arial" w:hint="default"/>
        <w:b w:val="0"/>
        <w:i w:val="0"/>
        <w:color w:val="71C5E8" w:themeColor="accent3"/>
        <w:sz w:val="18"/>
      </w:rPr>
    </w:lvl>
    <w:lvl w:ilvl="5">
      <w:start w:val="1"/>
      <w:numFmt w:val="none"/>
      <w:suff w:val="nothing"/>
      <w:lvlText w:val=""/>
      <w:lvlJc w:val="left"/>
      <w:pPr>
        <w:ind w:left="1817" w:hanging="284"/>
      </w:pPr>
      <w:rPr>
        <w:rFonts w:ascii="Arial" w:hAnsi="Arial" w:hint="default"/>
        <w:b w:val="0"/>
        <w:i w:val="0"/>
        <w:sz w:val="18"/>
      </w:rPr>
    </w:lvl>
    <w:lvl w:ilvl="6">
      <w:start w:val="1"/>
      <w:numFmt w:val="none"/>
      <w:suff w:val="nothing"/>
      <w:lvlText w:val="%7"/>
      <w:lvlJc w:val="left"/>
      <w:pPr>
        <w:ind w:left="2101" w:hanging="284"/>
      </w:pPr>
      <w:rPr>
        <w:rFonts w:hint="default"/>
      </w:rPr>
    </w:lvl>
    <w:lvl w:ilvl="7">
      <w:start w:val="1"/>
      <w:numFmt w:val="none"/>
      <w:suff w:val="nothing"/>
      <w:lvlText w:val="%8"/>
      <w:lvlJc w:val="left"/>
      <w:pPr>
        <w:ind w:left="2385" w:hanging="284"/>
      </w:pPr>
      <w:rPr>
        <w:rFonts w:hint="default"/>
      </w:rPr>
    </w:lvl>
    <w:lvl w:ilvl="8">
      <w:start w:val="1"/>
      <w:numFmt w:val="none"/>
      <w:suff w:val="nothing"/>
      <w:lvlText w:val="%9"/>
      <w:lvlJc w:val="left"/>
      <w:pPr>
        <w:ind w:left="2669" w:hanging="284"/>
      </w:pPr>
      <w:rPr>
        <w:rFonts w:hint="default"/>
      </w:rPr>
    </w:lvl>
  </w:abstractNum>
  <w:abstractNum w:abstractNumId="21" w15:restartNumberingAfterBreak="0">
    <w:nsid w:val="66395391"/>
    <w:multiLevelType w:val="multilevel"/>
    <w:tmpl w:val="CC184310"/>
    <w:numStyleLink w:val="ListTableNumber"/>
  </w:abstractNum>
  <w:abstractNum w:abstractNumId="22" w15:restartNumberingAfterBreak="0">
    <w:nsid w:val="690B114F"/>
    <w:multiLevelType w:val="multilevel"/>
    <w:tmpl w:val="CA8C1366"/>
    <w:lvl w:ilvl="0">
      <w:start w:val="1"/>
      <w:numFmt w:val="decimal"/>
      <w:lvlText w:val="%1."/>
      <w:lvlJc w:val="left"/>
      <w:pPr>
        <w:tabs>
          <w:tab w:val="num" w:pos="1276"/>
        </w:tabs>
        <w:ind w:left="1276" w:hanging="1276"/>
      </w:pPr>
      <w:rPr>
        <w:rFonts w:asciiTheme="majorHAnsi" w:hAnsiTheme="majorHAnsi" w:hint="default"/>
        <w:color w:val="005EB8" w:themeColor="accent1"/>
      </w:rPr>
    </w:lvl>
    <w:lvl w:ilvl="1">
      <w:start w:val="1"/>
      <w:numFmt w:val="decimal"/>
      <w:lvlText w:val="%1.%2"/>
      <w:lvlJc w:val="left"/>
      <w:pPr>
        <w:tabs>
          <w:tab w:val="num" w:pos="1276"/>
        </w:tabs>
        <w:ind w:left="1276" w:hanging="1276"/>
      </w:pPr>
      <w:rPr>
        <w:rFonts w:asciiTheme="majorHAnsi" w:hAnsiTheme="majorHAnsi" w:hint="default"/>
        <w:color w:val="71C5E8" w:themeColor="accent3"/>
      </w:rPr>
    </w:lvl>
    <w:lvl w:ilvl="2">
      <w:start w:val="1"/>
      <w:numFmt w:val="decimal"/>
      <w:lvlText w:val="%1.%2.%3"/>
      <w:lvlJc w:val="left"/>
      <w:pPr>
        <w:tabs>
          <w:tab w:val="num" w:pos="1276"/>
        </w:tabs>
        <w:ind w:left="1276" w:hanging="1276"/>
      </w:pPr>
      <w:rPr>
        <w:rFonts w:asciiTheme="majorHAnsi" w:hAnsiTheme="majorHAnsi" w:hint="default"/>
        <w:color w:val="005EB8" w:themeColor="accent1"/>
      </w:rPr>
    </w:lvl>
    <w:lvl w:ilvl="3">
      <w:start w:val="1"/>
      <w:numFmt w:val="decimal"/>
      <w:lvlText w:val="%1.%2.%3.%4"/>
      <w:lvlJc w:val="left"/>
      <w:pPr>
        <w:tabs>
          <w:tab w:val="num" w:pos="1276"/>
        </w:tabs>
        <w:ind w:left="1276" w:hanging="1276"/>
      </w:pPr>
      <w:rPr>
        <w:rFonts w:asciiTheme="majorHAnsi" w:hAnsiTheme="majorHAnsi" w:hint="default"/>
        <w:color w:val="005EB8" w:themeColor="accent1"/>
        <w:sz w:val="24"/>
      </w:rPr>
    </w:lvl>
    <w:lvl w:ilvl="4">
      <w:start w:val="1"/>
      <w:numFmt w:val="decimal"/>
      <w:lvlText w:val="%1.%2.%3.%4.%5"/>
      <w:lvlJc w:val="left"/>
      <w:pPr>
        <w:tabs>
          <w:tab w:val="num" w:pos="1276"/>
        </w:tabs>
        <w:ind w:left="1276" w:hanging="1276"/>
      </w:pPr>
      <w:rPr>
        <w:rFonts w:asciiTheme="majorHAnsi" w:hAnsiTheme="majorHAnsi" w:hint="default"/>
        <w:color w:val="003C5A" w:themeColor="text2"/>
        <w:sz w:val="20"/>
      </w:rPr>
    </w:lvl>
    <w:lvl w:ilvl="5">
      <w:start w:val="1"/>
      <w:numFmt w:val="none"/>
      <w:lvlText w:val=""/>
      <w:lvlJc w:val="left"/>
      <w:pPr>
        <w:tabs>
          <w:tab w:val="num" w:pos="1276"/>
        </w:tabs>
        <w:ind w:left="1276" w:hanging="1276"/>
      </w:pPr>
      <w:rPr>
        <w:rFonts w:hint="default"/>
      </w:rPr>
    </w:lvl>
    <w:lvl w:ilvl="6">
      <w:start w:val="1"/>
      <w:numFmt w:val="none"/>
      <w:lvlRestart w:val="1"/>
      <w:suff w:val="nothing"/>
      <w:lvlText w:val=""/>
      <w:lvlJc w:val="left"/>
      <w:pPr>
        <w:ind w:left="1276" w:hanging="1276"/>
      </w:pPr>
      <w:rPr>
        <w:rFonts w:hint="default"/>
      </w:rPr>
    </w:lvl>
    <w:lvl w:ilvl="7">
      <w:start w:val="1"/>
      <w:numFmt w:val="none"/>
      <w:suff w:val="nothing"/>
      <w:lvlText w:val=""/>
      <w:lvlJc w:val="left"/>
      <w:pPr>
        <w:ind w:left="1276" w:hanging="1276"/>
      </w:pPr>
      <w:rPr>
        <w:rFonts w:hint="default"/>
      </w:rPr>
    </w:lvl>
    <w:lvl w:ilvl="8">
      <w:start w:val="1"/>
      <w:numFmt w:val="none"/>
      <w:suff w:val="space"/>
      <w:lvlText w:val=""/>
      <w:lvlJc w:val="left"/>
      <w:pPr>
        <w:ind w:left="1276" w:hanging="1276"/>
      </w:pPr>
      <w:rPr>
        <w:rFonts w:hint="default"/>
      </w:rPr>
    </w:lvl>
  </w:abstractNum>
  <w:abstractNum w:abstractNumId="23" w15:restartNumberingAfterBreak="0">
    <w:nsid w:val="72C55002"/>
    <w:multiLevelType w:val="multilevel"/>
    <w:tmpl w:val="F78A1DCA"/>
    <w:numStyleLink w:val="ListTableBullet"/>
  </w:abstractNum>
  <w:abstractNum w:abstractNumId="24" w15:restartNumberingAfterBreak="0">
    <w:nsid w:val="79BF5D41"/>
    <w:multiLevelType w:val="hybridMultilevel"/>
    <w:tmpl w:val="A56E0EBA"/>
    <w:lvl w:ilvl="0" w:tplc="3BE8BA66">
      <w:start w:val="1"/>
      <w:numFmt w:val="decimal"/>
      <w:lvlText w:val="%1."/>
      <w:lvlJc w:val="left"/>
      <w:pPr>
        <w:ind w:left="360" w:hanging="360"/>
      </w:pPr>
      <w:rPr>
        <w:rFonts w:hint="default"/>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593883"/>
    <w:multiLevelType w:val="multilevel"/>
    <w:tmpl w:val="9AEE0F72"/>
    <w:numStyleLink w:val="ListAlpha"/>
  </w:abstractNum>
  <w:num w:numId="1" w16cid:durableId="271401526">
    <w:abstractNumId w:val="2"/>
  </w:num>
  <w:num w:numId="2" w16cid:durableId="300622371">
    <w:abstractNumId w:val="11"/>
  </w:num>
  <w:num w:numId="3" w16cid:durableId="568469037">
    <w:abstractNumId w:val="7"/>
  </w:num>
  <w:num w:numId="4" w16cid:durableId="1039013475">
    <w:abstractNumId w:val="22"/>
  </w:num>
  <w:num w:numId="5" w16cid:durableId="665019566">
    <w:abstractNumId w:val="1"/>
  </w:num>
  <w:num w:numId="6" w16cid:durableId="319192904">
    <w:abstractNumId w:val="3"/>
  </w:num>
  <w:num w:numId="7" w16cid:durableId="1382245460">
    <w:abstractNumId w:val="20"/>
  </w:num>
  <w:num w:numId="8" w16cid:durableId="2112044248">
    <w:abstractNumId w:val="17"/>
  </w:num>
  <w:num w:numId="9" w16cid:durableId="1236738945">
    <w:abstractNumId w:val="13"/>
  </w:num>
  <w:num w:numId="10" w16cid:durableId="24596697">
    <w:abstractNumId w:val="10"/>
  </w:num>
  <w:num w:numId="11" w16cid:durableId="1630932297">
    <w:abstractNumId w:val="9"/>
  </w:num>
  <w:num w:numId="12" w16cid:durableId="193737611">
    <w:abstractNumId w:val="4"/>
  </w:num>
  <w:num w:numId="13" w16cid:durableId="1500316292">
    <w:abstractNumId w:val="23"/>
  </w:num>
  <w:num w:numId="14" w16cid:durableId="1378969540">
    <w:abstractNumId w:val="21"/>
  </w:num>
  <w:num w:numId="15" w16cid:durableId="734015694">
    <w:abstractNumId w:val="8"/>
  </w:num>
  <w:num w:numId="16" w16cid:durableId="10533894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127687">
    <w:abstractNumId w:val="19"/>
  </w:num>
  <w:num w:numId="18" w16cid:durableId="751004860">
    <w:abstractNumId w:val="19"/>
  </w:num>
  <w:num w:numId="19" w16cid:durableId="725681778">
    <w:abstractNumId w:val="19"/>
  </w:num>
  <w:num w:numId="20" w16cid:durableId="1166164643">
    <w:abstractNumId w:val="19"/>
  </w:num>
  <w:num w:numId="21" w16cid:durableId="956180283">
    <w:abstractNumId w:val="19"/>
  </w:num>
  <w:num w:numId="22" w16cid:durableId="1287195705">
    <w:abstractNumId w:val="25"/>
  </w:num>
  <w:num w:numId="23" w16cid:durableId="818376934">
    <w:abstractNumId w:val="25"/>
  </w:num>
  <w:num w:numId="24" w16cid:durableId="1679775169">
    <w:abstractNumId w:val="15"/>
  </w:num>
  <w:num w:numId="25" w16cid:durableId="1901407495">
    <w:abstractNumId w:val="15"/>
  </w:num>
  <w:num w:numId="26" w16cid:durableId="1839661543">
    <w:abstractNumId w:val="15"/>
  </w:num>
  <w:num w:numId="27" w16cid:durableId="1307467877">
    <w:abstractNumId w:val="16"/>
  </w:num>
  <w:num w:numId="28" w16cid:durableId="801313373">
    <w:abstractNumId w:val="18"/>
  </w:num>
  <w:num w:numId="29" w16cid:durableId="1694644924">
    <w:abstractNumId w:val="6"/>
  </w:num>
  <w:num w:numId="30" w16cid:durableId="610207928">
    <w:abstractNumId w:val="5"/>
  </w:num>
  <w:num w:numId="31" w16cid:durableId="1024938817">
    <w:abstractNumId w:val="19"/>
    <w:lvlOverride w:ilvl="0">
      <w:lvl w:ilvl="0">
        <w:start w:val="1"/>
        <w:numFmt w:val="decimal"/>
        <w:pStyle w:val="Heading1"/>
        <w:lvlText w:val="%1."/>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16cid:durableId="641731601">
    <w:abstractNumId w:val="14"/>
  </w:num>
  <w:num w:numId="33" w16cid:durableId="986936774">
    <w:abstractNumId w:val="24"/>
  </w:num>
  <w:num w:numId="34" w16cid:durableId="113603496">
    <w:abstractNumId w:val="12"/>
  </w:num>
  <w:num w:numId="35" w16cid:durableId="211315989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CF"/>
    <w:rsid w:val="00006093"/>
    <w:rsid w:val="00006100"/>
    <w:rsid w:val="00013554"/>
    <w:rsid w:val="00027DA5"/>
    <w:rsid w:val="00032ED1"/>
    <w:rsid w:val="000428A9"/>
    <w:rsid w:val="000451D0"/>
    <w:rsid w:val="0004586E"/>
    <w:rsid w:val="000557D8"/>
    <w:rsid w:val="0006041E"/>
    <w:rsid w:val="00064544"/>
    <w:rsid w:val="000661EE"/>
    <w:rsid w:val="00071C7D"/>
    <w:rsid w:val="00074477"/>
    <w:rsid w:val="00076F97"/>
    <w:rsid w:val="0008258B"/>
    <w:rsid w:val="000870BB"/>
    <w:rsid w:val="00087CB6"/>
    <w:rsid w:val="00087D93"/>
    <w:rsid w:val="000A672C"/>
    <w:rsid w:val="000A7A85"/>
    <w:rsid w:val="000B13A1"/>
    <w:rsid w:val="000B3EBE"/>
    <w:rsid w:val="000B5F0C"/>
    <w:rsid w:val="000B6FA1"/>
    <w:rsid w:val="000C0C22"/>
    <w:rsid w:val="000C1D1E"/>
    <w:rsid w:val="000C7AC4"/>
    <w:rsid w:val="000C7DA6"/>
    <w:rsid w:val="000D36D1"/>
    <w:rsid w:val="000E7866"/>
    <w:rsid w:val="000F4A35"/>
    <w:rsid w:val="000F5C0F"/>
    <w:rsid w:val="001063C6"/>
    <w:rsid w:val="00120085"/>
    <w:rsid w:val="0012110E"/>
    <w:rsid w:val="00130108"/>
    <w:rsid w:val="0013218E"/>
    <w:rsid w:val="00145CCD"/>
    <w:rsid w:val="001505D8"/>
    <w:rsid w:val="0015404A"/>
    <w:rsid w:val="00154790"/>
    <w:rsid w:val="00156423"/>
    <w:rsid w:val="00156E7C"/>
    <w:rsid w:val="001600E5"/>
    <w:rsid w:val="0016033E"/>
    <w:rsid w:val="00167291"/>
    <w:rsid w:val="00170163"/>
    <w:rsid w:val="001829A7"/>
    <w:rsid w:val="00185154"/>
    <w:rsid w:val="0019114D"/>
    <w:rsid w:val="001A5839"/>
    <w:rsid w:val="001B374F"/>
    <w:rsid w:val="001B5368"/>
    <w:rsid w:val="001B79F6"/>
    <w:rsid w:val="001C50FE"/>
    <w:rsid w:val="001D510B"/>
    <w:rsid w:val="001E0402"/>
    <w:rsid w:val="001E0DC5"/>
    <w:rsid w:val="001F16CA"/>
    <w:rsid w:val="001F31AE"/>
    <w:rsid w:val="001F5590"/>
    <w:rsid w:val="00203509"/>
    <w:rsid w:val="002078C1"/>
    <w:rsid w:val="002106C4"/>
    <w:rsid w:val="00210DEF"/>
    <w:rsid w:val="00211216"/>
    <w:rsid w:val="00213534"/>
    <w:rsid w:val="00220053"/>
    <w:rsid w:val="002220FF"/>
    <w:rsid w:val="00222215"/>
    <w:rsid w:val="0022577E"/>
    <w:rsid w:val="0023389C"/>
    <w:rsid w:val="00250464"/>
    <w:rsid w:val="0025119D"/>
    <w:rsid w:val="00252201"/>
    <w:rsid w:val="00252319"/>
    <w:rsid w:val="00254DD8"/>
    <w:rsid w:val="00257716"/>
    <w:rsid w:val="0026593D"/>
    <w:rsid w:val="00266B2E"/>
    <w:rsid w:val="0027022A"/>
    <w:rsid w:val="00275ED9"/>
    <w:rsid w:val="0028588B"/>
    <w:rsid w:val="00290264"/>
    <w:rsid w:val="002A5B07"/>
    <w:rsid w:val="002B293D"/>
    <w:rsid w:val="002B4003"/>
    <w:rsid w:val="002B4B9C"/>
    <w:rsid w:val="002C0FE9"/>
    <w:rsid w:val="002C5B1C"/>
    <w:rsid w:val="002D2333"/>
    <w:rsid w:val="002D4254"/>
    <w:rsid w:val="002D4E6E"/>
    <w:rsid w:val="002D6313"/>
    <w:rsid w:val="002E72F9"/>
    <w:rsid w:val="002F20D3"/>
    <w:rsid w:val="002F4862"/>
    <w:rsid w:val="00301893"/>
    <w:rsid w:val="00307351"/>
    <w:rsid w:val="003105BA"/>
    <w:rsid w:val="0032484B"/>
    <w:rsid w:val="00332447"/>
    <w:rsid w:val="003411DD"/>
    <w:rsid w:val="00346CB5"/>
    <w:rsid w:val="00367400"/>
    <w:rsid w:val="0037398C"/>
    <w:rsid w:val="0037618F"/>
    <w:rsid w:val="00382FC4"/>
    <w:rsid w:val="0038394A"/>
    <w:rsid w:val="003853C1"/>
    <w:rsid w:val="00395BF5"/>
    <w:rsid w:val="003A04C1"/>
    <w:rsid w:val="003A08A5"/>
    <w:rsid w:val="003A0A63"/>
    <w:rsid w:val="003B0945"/>
    <w:rsid w:val="003B097F"/>
    <w:rsid w:val="003B4DCF"/>
    <w:rsid w:val="003B6AB9"/>
    <w:rsid w:val="003D203A"/>
    <w:rsid w:val="003D3B71"/>
    <w:rsid w:val="003D56AF"/>
    <w:rsid w:val="003E1EF3"/>
    <w:rsid w:val="003E5319"/>
    <w:rsid w:val="003F3218"/>
    <w:rsid w:val="003F3930"/>
    <w:rsid w:val="004002C0"/>
    <w:rsid w:val="0040339E"/>
    <w:rsid w:val="00404615"/>
    <w:rsid w:val="00407776"/>
    <w:rsid w:val="00410B10"/>
    <w:rsid w:val="00411388"/>
    <w:rsid w:val="00416C1C"/>
    <w:rsid w:val="0041702F"/>
    <w:rsid w:val="004178B4"/>
    <w:rsid w:val="00427353"/>
    <w:rsid w:val="0043018A"/>
    <w:rsid w:val="0043564D"/>
    <w:rsid w:val="0043628A"/>
    <w:rsid w:val="00444AE6"/>
    <w:rsid w:val="00446DCB"/>
    <w:rsid w:val="004478FD"/>
    <w:rsid w:val="004555DA"/>
    <w:rsid w:val="00455C98"/>
    <w:rsid w:val="00461FE0"/>
    <w:rsid w:val="004666E3"/>
    <w:rsid w:val="004667B7"/>
    <w:rsid w:val="004700B3"/>
    <w:rsid w:val="004709CC"/>
    <w:rsid w:val="0047256D"/>
    <w:rsid w:val="00475EFD"/>
    <w:rsid w:val="00476894"/>
    <w:rsid w:val="00491C59"/>
    <w:rsid w:val="00493A36"/>
    <w:rsid w:val="004A0C6D"/>
    <w:rsid w:val="004A715D"/>
    <w:rsid w:val="004B2E67"/>
    <w:rsid w:val="004B7DAE"/>
    <w:rsid w:val="004D070A"/>
    <w:rsid w:val="004D4000"/>
    <w:rsid w:val="004D44D7"/>
    <w:rsid w:val="004E79A4"/>
    <w:rsid w:val="004F2A3C"/>
    <w:rsid w:val="004F3D6F"/>
    <w:rsid w:val="004F67DF"/>
    <w:rsid w:val="0050161C"/>
    <w:rsid w:val="0051056D"/>
    <w:rsid w:val="0051298E"/>
    <w:rsid w:val="00512BF1"/>
    <w:rsid w:val="00517654"/>
    <w:rsid w:val="005226F3"/>
    <w:rsid w:val="00525CB6"/>
    <w:rsid w:val="005331C9"/>
    <w:rsid w:val="00536587"/>
    <w:rsid w:val="00540298"/>
    <w:rsid w:val="0055219D"/>
    <w:rsid w:val="0055353F"/>
    <w:rsid w:val="005613F0"/>
    <w:rsid w:val="0056633F"/>
    <w:rsid w:val="005713E5"/>
    <w:rsid w:val="00571ACA"/>
    <w:rsid w:val="00572361"/>
    <w:rsid w:val="00573A3B"/>
    <w:rsid w:val="00575E01"/>
    <w:rsid w:val="005A435A"/>
    <w:rsid w:val="005B0C40"/>
    <w:rsid w:val="005B1523"/>
    <w:rsid w:val="005B34AF"/>
    <w:rsid w:val="005B52A2"/>
    <w:rsid w:val="005B74BF"/>
    <w:rsid w:val="005C059A"/>
    <w:rsid w:val="005D620B"/>
    <w:rsid w:val="005D7899"/>
    <w:rsid w:val="005E259B"/>
    <w:rsid w:val="005E77DB"/>
    <w:rsid w:val="00600541"/>
    <w:rsid w:val="00601CBF"/>
    <w:rsid w:val="006025ED"/>
    <w:rsid w:val="00604F95"/>
    <w:rsid w:val="0061089F"/>
    <w:rsid w:val="00613B8E"/>
    <w:rsid w:val="00613E8B"/>
    <w:rsid w:val="00615FF9"/>
    <w:rsid w:val="006170EF"/>
    <w:rsid w:val="00633235"/>
    <w:rsid w:val="0065325A"/>
    <w:rsid w:val="006634EB"/>
    <w:rsid w:val="006643D6"/>
    <w:rsid w:val="00674316"/>
    <w:rsid w:val="00684E74"/>
    <w:rsid w:val="006A05C3"/>
    <w:rsid w:val="006A1801"/>
    <w:rsid w:val="006B02AE"/>
    <w:rsid w:val="006C6218"/>
    <w:rsid w:val="006D22C5"/>
    <w:rsid w:val="006D2A4D"/>
    <w:rsid w:val="006D5C2E"/>
    <w:rsid w:val="006F3925"/>
    <w:rsid w:val="00703CFA"/>
    <w:rsid w:val="00714775"/>
    <w:rsid w:val="00715313"/>
    <w:rsid w:val="0072144A"/>
    <w:rsid w:val="007312BA"/>
    <w:rsid w:val="00734CFB"/>
    <w:rsid w:val="00741647"/>
    <w:rsid w:val="0074179C"/>
    <w:rsid w:val="007468A8"/>
    <w:rsid w:val="00765F0A"/>
    <w:rsid w:val="00770BF1"/>
    <w:rsid w:val="00774E81"/>
    <w:rsid w:val="00790360"/>
    <w:rsid w:val="00797B30"/>
    <w:rsid w:val="007A21C0"/>
    <w:rsid w:val="007A5346"/>
    <w:rsid w:val="007B6AFB"/>
    <w:rsid w:val="007C007C"/>
    <w:rsid w:val="007E31F7"/>
    <w:rsid w:val="007E3CCA"/>
    <w:rsid w:val="007E57B8"/>
    <w:rsid w:val="007E7928"/>
    <w:rsid w:val="007F7518"/>
    <w:rsid w:val="00812615"/>
    <w:rsid w:val="00813E0B"/>
    <w:rsid w:val="0082052C"/>
    <w:rsid w:val="00821325"/>
    <w:rsid w:val="00822503"/>
    <w:rsid w:val="00823A0E"/>
    <w:rsid w:val="0084499C"/>
    <w:rsid w:val="00845732"/>
    <w:rsid w:val="00853DDE"/>
    <w:rsid w:val="008572D9"/>
    <w:rsid w:val="00861E13"/>
    <w:rsid w:val="0086249C"/>
    <w:rsid w:val="00862B4D"/>
    <w:rsid w:val="00883D7A"/>
    <w:rsid w:val="00892496"/>
    <w:rsid w:val="00895B1C"/>
    <w:rsid w:val="008A1B26"/>
    <w:rsid w:val="008A6596"/>
    <w:rsid w:val="008A6703"/>
    <w:rsid w:val="008A6F22"/>
    <w:rsid w:val="008B12A4"/>
    <w:rsid w:val="008B5D8F"/>
    <w:rsid w:val="008C0006"/>
    <w:rsid w:val="008C4108"/>
    <w:rsid w:val="008D505A"/>
    <w:rsid w:val="008E55D2"/>
    <w:rsid w:val="008E57C8"/>
    <w:rsid w:val="008E5CBE"/>
    <w:rsid w:val="008F1EBF"/>
    <w:rsid w:val="008F38E0"/>
    <w:rsid w:val="008F4E0B"/>
    <w:rsid w:val="008F70F3"/>
    <w:rsid w:val="0090241D"/>
    <w:rsid w:val="00903243"/>
    <w:rsid w:val="00907866"/>
    <w:rsid w:val="009122F9"/>
    <w:rsid w:val="009123E3"/>
    <w:rsid w:val="00916A4F"/>
    <w:rsid w:val="00917538"/>
    <w:rsid w:val="00922776"/>
    <w:rsid w:val="00930801"/>
    <w:rsid w:val="00932C68"/>
    <w:rsid w:val="0094231E"/>
    <w:rsid w:val="00942360"/>
    <w:rsid w:val="0094421A"/>
    <w:rsid w:val="009453E1"/>
    <w:rsid w:val="009468D8"/>
    <w:rsid w:val="0095014A"/>
    <w:rsid w:val="009571D7"/>
    <w:rsid w:val="00966659"/>
    <w:rsid w:val="00967874"/>
    <w:rsid w:val="00971101"/>
    <w:rsid w:val="00982DC2"/>
    <w:rsid w:val="00996520"/>
    <w:rsid w:val="009A199C"/>
    <w:rsid w:val="009B25C6"/>
    <w:rsid w:val="009B26CC"/>
    <w:rsid w:val="009C149F"/>
    <w:rsid w:val="009C6B3E"/>
    <w:rsid w:val="009D5925"/>
    <w:rsid w:val="009D670A"/>
    <w:rsid w:val="009D6B5C"/>
    <w:rsid w:val="009F6B02"/>
    <w:rsid w:val="009F6CE7"/>
    <w:rsid w:val="00A00E14"/>
    <w:rsid w:val="00A05ED1"/>
    <w:rsid w:val="00A071AD"/>
    <w:rsid w:val="00A07960"/>
    <w:rsid w:val="00A0796A"/>
    <w:rsid w:val="00A10B1C"/>
    <w:rsid w:val="00A15855"/>
    <w:rsid w:val="00A16F1D"/>
    <w:rsid w:val="00A208D9"/>
    <w:rsid w:val="00A20915"/>
    <w:rsid w:val="00A24E52"/>
    <w:rsid w:val="00A34EDE"/>
    <w:rsid w:val="00A36861"/>
    <w:rsid w:val="00A40AEB"/>
    <w:rsid w:val="00A41250"/>
    <w:rsid w:val="00A41D4E"/>
    <w:rsid w:val="00A41F66"/>
    <w:rsid w:val="00A52A8F"/>
    <w:rsid w:val="00A55155"/>
    <w:rsid w:val="00A61708"/>
    <w:rsid w:val="00A624CF"/>
    <w:rsid w:val="00A640FF"/>
    <w:rsid w:val="00A66AAE"/>
    <w:rsid w:val="00A76012"/>
    <w:rsid w:val="00A83349"/>
    <w:rsid w:val="00A83B38"/>
    <w:rsid w:val="00A90057"/>
    <w:rsid w:val="00AA6010"/>
    <w:rsid w:val="00AB2764"/>
    <w:rsid w:val="00AB6ED9"/>
    <w:rsid w:val="00AC0A03"/>
    <w:rsid w:val="00AD6AFD"/>
    <w:rsid w:val="00AD6EC2"/>
    <w:rsid w:val="00AE4C26"/>
    <w:rsid w:val="00AE5ACF"/>
    <w:rsid w:val="00AE6BDF"/>
    <w:rsid w:val="00AF2204"/>
    <w:rsid w:val="00AF659B"/>
    <w:rsid w:val="00B012F3"/>
    <w:rsid w:val="00B07918"/>
    <w:rsid w:val="00B1273F"/>
    <w:rsid w:val="00B34B0D"/>
    <w:rsid w:val="00B454FC"/>
    <w:rsid w:val="00B52FEC"/>
    <w:rsid w:val="00B53493"/>
    <w:rsid w:val="00B55D18"/>
    <w:rsid w:val="00B56CC8"/>
    <w:rsid w:val="00B60A19"/>
    <w:rsid w:val="00B65281"/>
    <w:rsid w:val="00B668FB"/>
    <w:rsid w:val="00B72B54"/>
    <w:rsid w:val="00B7499F"/>
    <w:rsid w:val="00B76B8E"/>
    <w:rsid w:val="00B77A6D"/>
    <w:rsid w:val="00B81113"/>
    <w:rsid w:val="00B818AF"/>
    <w:rsid w:val="00B8670E"/>
    <w:rsid w:val="00B87647"/>
    <w:rsid w:val="00B93AD3"/>
    <w:rsid w:val="00B97709"/>
    <w:rsid w:val="00BA2E46"/>
    <w:rsid w:val="00BA396F"/>
    <w:rsid w:val="00BA45AE"/>
    <w:rsid w:val="00BA4F4A"/>
    <w:rsid w:val="00BA5689"/>
    <w:rsid w:val="00BA66AD"/>
    <w:rsid w:val="00BA6CA0"/>
    <w:rsid w:val="00BA7D90"/>
    <w:rsid w:val="00BB1AA4"/>
    <w:rsid w:val="00BB4F1E"/>
    <w:rsid w:val="00BC2DD3"/>
    <w:rsid w:val="00BC67B1"/>
    <w:rsid w:val="00BD08EE"/>
    <w:rsid w:val="00BD535C"/>
    <w:rsid w:val="00BD7CF3"/>
    <w:rsid w:val="00BE16D4"/>
    <w:rsid w:val="00BE470C"/>
    <w:rsid w:val="00BF0444"/>
    <w:rsid w:val="00BF2C53"/>
    <w:rsid w:val="00C000C3"/>
    <w:rsid w:val="00C022D2"/>
    <w:rsid w:val="00C02E60"/>
    <w:rsid w:val="00C02F82"/>
    <w:rsid w:val="00C10095"/>
    <w:rsid w:val="00C21A75"/>
    <w:rsid w:val="00C240FD"/>
    <w:rsid w:val="00C24374"/>
    <w:rsid w:val="00C27DD7"/>
    <w:rsid w:val="00C302EF"/>
    <w:rsid w:val="00C30E93"/>
    <w:rsid w:val="00C4156E"/>
    <w:rsid w:val="00C52E63"/>
    <w:rsid w:val="00C538FE"/>
    <w:rsid w:val="00C609BB"/>
    <w:rsid w:val="00C626CB"/>
    <w:rsid w:val="00C734EE"/>
    <w:rsid w:val="00C74C53"/>
    <w:rsid w:val="00C80622"/>
    <w:rsid w:val="00C941F0"/>
    <w:rsid w:val="00C97431"/>
    <w:rsid w:val="00CB5A23"/>
    <w:rsid w:val="00CB6390"/>
    <w:rsid w:val="00CB78C0"/>
    <w:rsid w:val="00CD08DC"/>
    <w:rsid w:val="00CE13E2"/>
    <w:rsid w:val="00CE288C"/>
    <w:rsid w:val="00CE37C0"/>
    <w:rsid w:val="00CE7980"/>
    <w:rsid w:val="00D00835"/>
    <w:rsid w:val="00D0745E"/>
    <w:rsid w:val="00D15826"/>
    <w:rsid w:val="00D241D3"/>
    <w:rsid w:val="00D253E1"/>
    <w:rsid w:val="00D27254"/>
    <w:rsid w:val="00D27324"/>
    <w:rsid w:val="00D27FA8"/>
    <w:rsid w:val="00D365D3"/>
    <w:rsid w:val="00D3799E"/>
    <w:rsid w:val="00D37F11"/>
    <w:rsid w:val="00D42F7B"/>
    <w:rsid w:val="00D55089"/>
    <w:rsid w:val="00D63051"/>
    <w:rsid w:val="00D65684"/>
    <w:rsid w:val="00D6763F"/>
    <w:rsid w:val="00D73B18"/>
    <w:rsid w:val="00D802EF"/>
    <w:rsid w:val="00D874EA"/>
    <w:rsid w:val="00D90EE1"/>
    <w:rsid w:val="00D9190D"/>
    <w:rsid w:val="00D92FA7"/>
    <w:rsid w:val="00DA4C28"/>
    <w:rsid w:val="00DA76FA"/>
    <w:rsid w:val="00DB1E84"/>
    <w:rsid w:val="00DB2B49"/>
    <w:rsid w:val="00DB4141"/>
    <w:rsid w:val="00DB4AB6"/>
    <w:rsid w:val="00DB5C74"/>
    <w:rsid w:val="00DC28FE"/>
    <w:rsid w:val="00DC290C"/>
    <w:rsid w:val="00DC33B4"/>
    <w:rsid w:val="00DC3D7D"/>
    <w:rsid w:val="00DC5165"/>
    <w:rsid w:val="00DD05B0"/>
    <w:rsid w:val="00DD0620"/>
    <w:rsid w:val="00DD108D"/>
    <w:rsid w:val="00DD12EA"/>
    <w:rsid w:val="00DD2003"/>
    <w:rsid w:val="00DD4656"/>
    <w:rsid w:val="00DE7BF0"/>
    <w:rsid w:val="00DF01DF"/>
    <w:rsid w:val="00DF0684"/>
    <w:rsid w:val="00E018FB"/>
    <w:rsid w:val="00E12849"/>
    <w:rsid w:val="00E13488"/>
    <w:rsid w:val="00E135C8"/>
    <w:rsid w:val="00E148A7"/>
    <w:rsid w:val="00E15BFE"/>
    <w:rsid w:val="00E21DC0"/>
    <w:rsid w:val="00E252B5"/>
    <w:rsid w:val="00E34FF0"/>
    <w:rsid w:val="00E4035B"/>
    <w:rsid w:val="00E64231"/>
    <w:rsid w:val="00E6730E"/>
    <w:rsid w:val="00E6763B"/>
    <w:rsid w:val="00E70DFB"/>
    <w:rsid w:val="00E72F2F"/>
    <w:rsid w:val="00E81B11"/>
    <w:rsid w:val="00E857B7"/>
    <w:rsid w:val="00EB58BD"/>
    <w:rsid w:val="00EB76EA"/>
    <w:rsid w:val="00EB7B1C"/>
    <w:rsid w:val="00EC0FFC"/>
    <w:rsid w:val="00EC1682"/>
    <w:rsid w:val="00EC7184"/>
    <w:rsid w:val="00ED2E33"/>
    <w:rsid w:val="00ED3024"/>
    <w:rsid w:val="00ED3C55"/>
    <w:rsid w:val="00ED3F24"/>
    <w:rsid w:val="00ED71B6"/>
    <w:rsid w:val="00EE5474"/>
    <w:rsid w:val="00EF0E10"/>
    <w:rsid w:val="00EF2076"/>
    <w:rsid w:val="00EF2AFB"/>
    <w:rsid w:val="00F22E61"/>
    <w:rsid w:val="00F325FF"/>
    <w:rsid w:val="00F33D5C"/>
    <w:rsid w:val="00F3402F"/>
    <w:rsid w:val="00F42992"/>
    <w:rsid w:val="00F431FB"/>
    <w:rsid w:val="00F445D2"/>
    <w:rsid w:val="00F47E0B"/>
    <w:rsid w:val="00F53ACB"/>
    <w:rsid w:val="00F60983"/>
    <w:rsid w:val="00F60E46"/>
    <w:rsid w:val="00F613B6"/>
    <w:rsid w:val="00F6184E"/>
    <w:rsid w:val="00F61919"/>
    <w:rsid w:val="00F74321"/>
    <w:rsid w:val="00F8007E"/>
    <w:rsid w:val="00F81C8A"/>
    <w:rsid w:val="00F84805"/>
    <w:rsid w:val="00F96779"/>
    <w:rsid w:val="00FA1AC5"/>
    <w:rsid w:val="00FA2B02"/>
    <w:rsid w:val="00FB1115"/>
    <w:rsid w:val="00FB2EBC"/>
    <w:rsid w:val="00FB4AE4"/>
    <w:rsid w:val="00FB59F4"/>
    <w:rsid w:val="00FD20CE"/>
    <w:rsid w:val="00FD7472"/>
    <w:rsid w:val="00FE7A02"/>
    <w:rsid w:val="00FF095D"/>
    <w:rsid w:val="00FF3A65"/>
    <w:rsid w:val="00FF781B"/>
    <w:rsid w:val="00FF7A7E"/>
  </w:rsids>
  <m:mathPr>
    <m:mathFont m:val="Cambria Math"/>
    <m:brkBin m:val="before"/>
    <m:brkBinSub m:val="--"/>
    <m:smallFrac/>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BA621"/>
  <w15:chartTrackingRefBased/>
  <w15:docId w15:val="{970E8CF6-7619-4B68-A1B3-82644BA1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160" w:line="259" w:lineRule="auto"/>
      </w:pPr>
    </w:pPrDefault>
  </w:docDefaults>
  <w:latentStyles w:defLockedState="0" w:defUIPriority="99" w:defSemiHidden="0" w:defUnhideWhenUsed="0" w:defQFormat="0" w:count="376">
    <w:lsdException w:name="Normal" w:uiPriority="2"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3" w:unhideWhenUsed="1" w:qFormat="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W Normal"/>
    <w:uiPriority w:val="2"/>
    <w:qFormat/>
    <w:rsid w:val="00AE5ACF"/>
    <w:pPr>
      <w:spacing w:before="120" w:after="120" w:line="280" w:lineRule="atLeast"/>
      <w:ind w:left="709"/>
    </w:pPr>
    <w:rPr>
      <w:rFonts w:eastAsia="Times New Roman" w:cs="Times New Roman"/>
      <w:sz w:val="20"/>
      <w:szCs w:val="24"/>
      <w:lang w:eastAsia="en-AU"/>
    </w:rPr>
  </w:style>
  <w:style w:type="paragraph" w:styleId="Heading1">
    <w:name w:val="heading 1"/>
    <w:aliases w:val="CMW Heading 1,CMW Level 1"/>
    <w:basedOn w:val="Normal"/>
    <w:next w:val="BodyText"/>
    <w:link w:val="Heading1Char"/>
    <w:uiPriority w:val="7"/>
    <w:qFormat/>
    <w:rsid w:val="002F20D3"/>
    <w:pPr>
      <w:keepNext/>
      <w:keepLines/>
      <w:widowControl w:val="0"/>
      <w:numPr>
        <w:numId w:val="21"/>
      </w:numPr>
      <w:pBdr>
        <w:bottom w:val="single" w:sz="6" w:space="6" w:color="005EB8" w:themeColor="accent1"/>
      </w:pBdr>
      <w:spacing w:before="480" w:after="180"/>
      <w:outlineLvl w:val="0"/>
    </w:pPr>
    <w:rPr>
      <w:rFonts w:asciiTheme="majorHAnsi" w:hAnsiTheme="majorHAnsi" w:cs="Arial"/>
      <w:b/>
      <w:bCs/>
      <w:color w:val="005EB8" w:themeColor="accent1"/>
      <w:sz w:val="40"/>
      <w:szCs w:val="32"/>
    </w:rPr>
  </w:style>
  <w:style w:type="paragraph" w:styleId="Heading2">
    <w:name w:val="heading 2"/>
    <w:aliases w:val="CMW Heading 2,CMW Level 2"/>
    <w:basedOn w:val="Normal"/>
    <w:next w:val="BodyText"/>
    <w:link w:val="Heading2Char"/>
    <w:uiPriority w:val="7"/>
    <w:qFormat/>
    <w:rsid w:val="002F20D3"/>
    <w:pPr>
      <w:keepNext/>
      <w:keepLines/>
      <w:numPr>
        <w:ilvl w:val="1"/>
        <w:numId w:val="21"/>
      </w:numPr>
      <w:spacing w:before="320" w:after="180"/>
      <w:outlineLvl w:val="1"/>
    </w:pPr>
    <w:rPr>
      <w:rFonts w:asciiTheme="majorHAnsi" w:hAnsiTheme="majorHAnsi" w:cs="Arial"/>
      <w:b/>
      <w:bCs/>
      <w:iCs/>
      <w:color w:val="71C5E8" w:themeColor="accent3"/>
      <w:sz w:val="28"/>
      <w:szCs w:val="28"/>
    </w:rPr>
  </w:style>
  <w:style w:type="paragraph" w:styleId="Heading3">
    <w:name w:val="heading 3"/>
    <w:aliases w:val="CMW Heading 3,CMW Level 3"/>
    <w:basedOn w:val="Normal"/>
    <w:next w:val="BodyText"/>
    <w:link w:val="Heading3Char"/>
    <w:uiPriority w:val="7"/>
    <w:qFormat/>
    <w:rsid w:val="002F20D3"/>
    <w:pPr>
      <w:keepNext/>
      <w:keepLines/>
      <w:numPr>
        <w:ilvl w:val="2"/>
        <w:numId w:val="21"/>
      </w:numPr>
      <w:spacing w:before="240"/>
      <w:outlineLvl w:val="2"/>
    </w:pPr>
    <w:rPr>
      <w:rFonts w:asciiTheme="majorHAnsi" w:hAnsiTheme="majorHAnsi"/>
      <w:b/>
      <w:bCs/>
      <w:color w:val="005EB8" w:themeColor="accent1"/>
      <w:sz w:val="24"/>
    </w:rPr>
  </w:style>
  <w:style w:type="paragraph" w:styleId="Heading4">
    <w:name w:val="heading 4"/>
    <w:aliases w:val="CMW Heading 4"/>
    <w:basedOn w:val="Normal"/>
    <w:next w:val="BodyText"/>
    <w:link w:val="Heading4Char"/>
    <w:qFormat/>
    <w:rsid w:val="002F20D3"/>
    <w:pPr>
      <w:keepNext/>
      <w:keepLines/>
      <w:numPr>
        <w:ilvl w:val="3"/>
        <w:numId w:val="21"/>
      </w:numPr>
      <w:spacing w:before="240"/>
      <w:outlineLvl w:val="3"/>
    </w:pPr>
    <w:rPr>
      <w:rFonts w:asciiTheme="majorHAnsi" w:hAnsiTheme="majorHAnsi"/>
      <w:bCs/>
      <w:color w:val="005EB8" w:themeColor="accent1"/>
      <w:sz w:val="24"/>
    </w:rPr>
  </w:style>
  <w:style w:type="paragraph" w:styleId="Heading5">
    <w:name w:val="heading 5"/>
    <w:aliases w:val="CMW Heading 5"/>
    <w:basedOn w:val="Normal"/>
    <w:next w:val="BodyText"/>
    <w:link w:val="Heading5Char"/>
    <w:qFormat/>
    <w:rsid w:val="002F20D3"/>
    <w:pPr>
      <w:keepNext/>
      <w:keepLines/>
      <w:numPr>
        <w:ilvl w:val="4"/>
        <w:numId w:val="21"/>
      </w:numPr>
      <w:spacing w:before="240"/>
      <w:outlineLvl w:val="4"/>
    </w:pPr>
    <w:rPr>
      <w:rFonts w:asciiTheme="majorHAnsi" w:hAnsiTheme="majorHAnsi"/>
      <w:b/>
      <w:bCs/>
      <w:iCs/>
      <w:color w:val="003C5A" w:themeColor="text2"/>
      <w:szCs w:val="26"/>
    </w:rPr>
  </w:style>
  <w:style w:type="paragraph" w:styleId="Heading6">
    <w:name w:val="heading 6"/>
    <w:basedOn w:val="Normal"/>
    <w:next w:val="Normal"/>
    <w:link w:val="Heading6Char"/>
    <w:uiPriority w:val="99"/>
    <w:semiHidden/>
    <w:qFormat/>
    <w:rsid w:val="00444AE6"/>
    <w:pPr>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MW Body Text"/>
    <w:basedOn w:val="Normal"/>
    <w:link w:val="BodyTextChar"/>
    <w:qFormat/>
    <w:rsid w:val="00A071AD"/>
  </w:style>
  <w:style w:type="character" w:customStyle="1" w:styleId="BodyTextChar">
    <w:name w:val="Body Text Char"/>
    <w:aliases w:val="CMW Body Text Char"/>
    <w:basedOn w:val="DefaultParagraphFont"/>
    <w:link w:val="BodyText"/>
    <w:rsid w:val="00A071AD"/>
    <w:rPr>
      <w:rFonts w:eastAsia="Times New Roman" w:cs="Times New Roman"/>
      <w:sz w:val="20"/>
      <w:szCs w:val="24"/>
      <w:lang w:eastAsia="en-AU"/>
    </w:rPr>
  </w:style>
  <w:style w:type="character" w:customStyle="1" w:styleId="Heading1Char">
    <w:name w:val="Heading 1 Char"/>
    <w:aliases w:val="CMW Heading 1 Char,CMW Level 1 Char"/>
    <w:basedOn w:val="DefaultParagraphFont"/>
    <w:link w:val="Heading1"/>
    <w:rsid w:val="002F20D3"/>
    <w:rPr>
      <w:rFonts w:asciiTheme="majorHAnsi" w:eastAsia="Times New Roman" w:hAnsiTheme="majorHAnsi" w:cs="Arial"/>
      <w:b/>
      <w:bCs/>
      <w:color w:val="005EB8" w:themeColor="accent1"/>
      <w:sz w:val="40"/>
      <w:szCs w:val="32"/>
      <w:lang w:eastAsia="en-AU"/>
    </w:rPr>
  </w:style>
  <w:style w:type="character" w:customStyle="1" w:styleId="Heading2Char">
    <w:name w:val="Heading 2 Char"/>
    <w:aliases w:val="CMW Heading 2 Char,CMW Level 2 Char"/>
    <w:basedOn w:val="DefaultParagraphFont"/>
    <w:link w:val="Heading2"/>
    <w:uiPriority w:val="2"/>
    <w:rsid w:val="002F20D3"/>
    <w:rPr>
      <w:rFonts w:asciiTheme="majorHAnsi" w:eastAsia="Times New Roman" w:hAnsiTheme="majorHAnsi" w:cs="Arial"/>
      <w:b/>
      <w:bCs/>
      <w:iCs/>
      <w:color w:val="71C5E8" w:themeColor="accent3"/>
      <w:sz w:val="28"/>
      <w:szCs w:val="28"/>
      <w:lang w:eastAsia="en-AU"/>
    </w:rPr>
  </w:style>
  <w:style w:type="character" w:customStyle="1" w:styleId="Heading3Char">
    <w:name w:val="Heading 3 Char"/>
    <w:aliases w:val="CMW Heading 3 Char,CMW Level 3 Char"/>
    <w:basedOn w:val="DefaultParagraphFont"/>
    <w:link w:val="Heading3"/>
    <w:rsid w:val="002F20D3"/>
    <w:rPr>
      <w:rFonts w:asciiTheme="majorHAnsi" w:eastAsia="Times New Roman" w:hAnsiTheme="majorHAnsi" w:cs="Times New Roman"/>
      <w:b/>
      <w:bCs/>
      <w:color w:val="005EB8" w:themeColor="accent1"/>
      <w:sz w:val="24"/>
      <w:szCs w:val="24"/>
      <w:lang w:eastAsia="en-AU"/>
    </w:rPr>
  </w:style>
  <w:style w:type="character" w:customStyle="1" w:styleId="Heading4Char">
    <w:name w:val="Heading 4 Char"/>
    <w:aliases w:val="CMW Heading 4 Char"/>
    <w:basedOn w:val="DefaultParagraphFont"/>
    <w:link w:val="Heading4"/>
    <w:rsid w:val="002F20D3"/>
    <w:rPr>
      <w:rFonts w:asciiTheme="majorHAnsi" w:eastAsia="Times New Roman" w:hAnsiTheme="majorHAnsi" w:cs="Times New Roman"/>
      <w:bCs/>
      <w:color w:val="005EB8" w:themeColor="accent1"/>
      <w:sz w:val="24"/>
      <w:lang w:eastAsia="en-AU"/>
    </w:rPr>
  </w:style>
  <w:style w:type="paragraph" w:styleId="Title">
    <w:name w:val="Title"/>
    <w:aliases w:val="CMW Title"/>
    <w:basedOn w:val="Normal"/>
    <w:next w:val="BodyText"/>
    <w:link w:val="TitleChar"/>
    <w:uiPriority w:val="9"/>
    <w:rsid w:val="002F20D3"/>
    <w:pPr>
      <w:spacing w:before="360" w:after="360"/>
    </w:pPr>
    <w:rPr>
      <w:rFonts w:asciiTheme="majorHAnsi" w:eastAsiaTheme="majorEastAsia" w:hAnsiTheme="majorHAnsi" w:cstheme="majorBidi"/>
      <w:b/>
      <w:color w:val="005EB8" w:themeColor="accent1"/>
      <w:sz w:val="84"/>
      <w:szCs w:val="52"/>
    </w:rPr>
  </w:style>
  <w:style w:type="character" w:customStyle="1" w:styleId="TitleChar">
    <w:name w:val="Title Char"/>
    <w:aliases w:val="CMW Title Char"/>
    <w:basedOn w:val="DefaultParagraphFont"/>
    <w:link w:val="Title"/>
    <w:uiPriority w:val="9"/>
    <w:rsid w:val="002F20D3"/>
    <w:rPr>
      <w:rFonts w:asciiTheme="majorHAnsi" w:eastAsiaTheme="majorEastAsia" w:hAnsiTheme="majorHAnsi" w:cstheme="majorBidi"/>
      <w:b/>
      <w:color w:val="005EB8" w:themeColor="accent1"/>
      <w:sz w:val="84"/>
      <w:szCs w:val="52"/>
    </w:rPr>
  </w:style>
  <w:style w:type="paragraph" w:styleId="Subtitle">
    <w:name w:val="Subtitle"/>
    <w:aliases w:val="CMW Subtitle"/>
    <w:basedOn w:val="Normal"/>
    <w:next w:val="BodyText"/>
    <w:link w:val="SubtitleChar"/>
    <w:uiPriority w:val="10"/>
    <w:rsid w:val="002F20D3"/>
    <w:pPr>
      <w:numPr>
        <w:ilvl w:val="1"/>
      </w:numPr>
      <w:pBdr>
        <w:top w:val="single" w:sz="6" w:space="12" w:color="71C5E8" w:themeColor="accent3"/>
        <w:bottom w:val="single" w:sz="6" w:space="12" w:color="71C5E8" w:themeColor="accent3"/>
      </w:pBdr>
      <w:spacing w:before="440" w:after="440"/>
      <w:ind w:left="709"/>
      <w:contextualSpacing/>
    </w:pPr>
    <w:rPr>
      <w:rFonts w:asciiTheme="majorHAnsi" w:eastAsiaTheme="majorEastAsia" w:hAnsiTheme="majorHAnsi" w:cstheme="majorBidi"/>
      <w:b/>
      <w:iCs/>
      <w:color w:val="71C5E8"/>
      <w:sz w:val="32"/>
    </w:rPr>
  </w:style>
  <w:style w:type="character" w:customStyle="1" w:styleId="SubtitleChar">
    <w:name w:val="Subtitle Char"/>
    <w:aliases w:val="CMW Subtitle Char"/>
    <w:basedOn w:val="DefaultParagraphFont"/>
    <w:link w:val="Subtitle"/>
    <w:uiPriority w:val="10"/>
    <w:rsid w:val="002F20D3"/>
    <w:rPr>
      <w:rFonts w:asciiTheme="majorHAnsi" w:eastAsiaTheme="majorEastAsia" w:hAnsiTheme="majorHAnsi" w:cstheme="majorBidi"/>
      <w:b/>
      <w:iCs/>
      <w:color w:val="71C5E8"/>
      <w:sz w:val="32"/>
      <w:szCs w:val="24"/>
    </w:rPr>
  </w:style>
  <w:style w:type="paragraph" w:styleId="BodyText2">
    <w:name w:val="Body Text 2"/>
    <w:basedOn w:val="BodyText"/>
    <w:link w:val="BodyText2Char"/>
    <w:uiPriority w:val="99"/>
    <w:semiHidden/>
    <w:qFormat/>
    <w:rsid w:val="00444AE6"/>
    <w:pPr>
      <w:numPr>
        <w:ilvl w:val="1"/>
      </w:numPr>
      <w:tabs>
        <w:tab w:val="left" w:pos="567"/>
      </w:tabs>
      <w:ind w:left="709"/>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A624CF"/>
    <w:pPr>
      <w:pBdr>
        <w:bottom w:val="single" w:sz="6" w:space="3" w:color="71C5E8" w:themeColor="accent3"/>
      </w:pBdr>
    </w:pPr>
    <w:rPr>
      <w:color w:val="71C5E8" w:themeColor="accent3"/>
    </w:rPr>
  </w:style>
  <w:style w:type="character" w:customStyle="1" w:styleId="HeaderChar">
    <w:name w:val="Header Char"/>
    <w:basedOn w:val="DefaultParagraphFont"/>
    <w:link w:val="Header"/>
    <w:uiPriority w:val="99"/>
    <w:rsid w:val="00A624CF"/>
    <w:rPr>
      <w:color w:val="71C5E8" w:themeColor="accent3"/>
      <w:sz w:val="20"/>
    </w:rPr>
  </w:style>
  <w:style w:type="paragraph" w:styleId="Footer">
    <w:name w:val="footer"/>
    <w:basedOn w:val="Normal"/>
    <w:link w:val="FooterChar"/>
    <w:uiPriority w:val="99"/>
    <w:rsid w:val="00410B10"/>
    <w:pPr>
      <w:pBdr>
        <w:top w:val="single" w:sz="4" w:space="3" w:color="71C5E8" w:themeColor="accent3"/>
      </w:pBdr>
      <w:tabs>
        <w:tab w:val="right" w:pos="9639"/>
      </w:tabs>
    </w:pPr>
    <w:rPr>
      <w:color w:val="71C5E8" w:themeColor="accent3"/>
      <w:sz w:val="16"/>
    </w:rPr>
  </w:style>
  <w:style w:type="character" w:customStyle="1" w:styleId="FooterChar">
    <w:name w:val="Footer Char"/>
    <w:basedOn w:val="DefaultParagraphFont"/>
    <w:link w:val="Footer"/>
    <w:uiPriority w:val="99"/>
    <w:rsid w:val="00410B10"/>
    <w:rPr>
      <w:color w:val="71C5E8" w:themeColor="accent3"/>
      <w:sz w:val="16"/>
    </w:rPr>
  </w:style>
  <w:style w:type="paragraph" w:styleId="ListNumber0">
    <w:name w:val="List Number"/>
    <w:aliases w:val="CMW Number List,CMW Number List Spacing"/>
    <w:basedOn w:val="BodyText"/>
    <w:uiPriority w:val="2"/>
    <w:qFormat/>
    <w:rsid w:val="002F20D3"/>
    <w:pPr>
      <w:numPr>
        <w:numId w:val="27"/>
      </w:numPr>
      <w:spacing w:before="60" w:after="60"/>
    </w:pPr>
  </w:style>
  <w:style w:type="paragraph" w:styleId="ListBullet0">
    <w:name w:val="List Bullet"/>
    <w:aliases w:val="CMW List Bullet 1"/>
    <w:basedOn w:val="BodyText"/>
    <w:uiPriority w:val="2"/>
    <w:qFormat/>
    <w:rsid w:val="002F20D3"/>
    <w:pPr>
      <w:numPr>
        <w:numId w:val="26"/>
      </w:numPr>
      <w:spacing w:before="60" w:after="60"/>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4709CC"/>
    <w:rPr>
      <w:color w:val="005EB8" w:themeColor="accent1"/>
      <w:u w:val="single"/>
    </w:rPr>
  </w:style>
  <w:style w:type="paragraph" w:styleId="TOC1">
    <w:name w:val="toc 1"/>
    <w:basedOn w:val="Normal"/>
    <w:next w:val="Normal"/>
    <w:uiPriority w:val="39"/>
    <w:rsid w:val="00DD12EA"/>
    <w:pPr>
      <w:keepNext/>
      <w:tabs>
        <w:tab w:val="right" w:leader="dot" w:pos="9072"/>
      </w:tabs>
      <w:spacing w:before="240" w:after="60"/>
      <w:ind w:right="567"/>
    </w:pPr>
    <w:rPr>
      <w:b/>
    </w:rPr>
  </w:style>
  <w:style w:type="paragraph" w:styleId="TOC2">
    <w:name w:val="toc 2"/>
    <w:basedOn w:val="Normal"/>
    <w:next w:val="Normal"/>
    <w:uiPriority w:val="39"/>
    <w:rsid w:val="00DD12EA"/>
    <w:pPr>
      <w:tabs>
        <w:tab w:val="right" w:leader="dot" w:pos="9072"/>
      </w:tabs>
      <w:spacing w:before="60" w:after="60"/>
      <w:ind w:right="567"/>
    </w:pPr>
  </w:style>
  <w:style w:type="paragraph" w:styleId="TOC3">
    <w:name w:val="toc 3"/>
    <w:basedOn w:val="Normal"/>
    <w:next w:val="Normal"/>
    <w:uiPriority w:val="39"/>
    <w:rsid w:val="00DD12EA"/>
    <w:pPr>
      <w:tabs>
        <w:tab w:val="right" w:pos="9072"/>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omwellFormTable">
    <w:name w:val="Cromwell Form Table"/>
    <w:basedOn w:val="CromwellGridTable"/>
    <w:uiPriority w:val="99"/>
    <w:rsid w:val="0012110E"/>
    <w:tblPr>
      <w:tblInd w:w="-113"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CellMar>
        <w:top w:w="28" w:type="dxa"/>
        <w:bottom w:w="28" w:type="dxa"/>
      </w:tblCellMar>
    </w:tblPr>
    <w:tcPr>
      <w:shd w:val="clear" w:color="auto" w:fill="E2F3FA" w:themeFill="accent3" w:themeFillTint="33"/>
    </w:tcPr>
    <w:tblStylePr w:type="firstRow">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05EB8" w:themeFill="accent1"/>
      </w:tcPr>
    </w:tblStylePr>
    <w:tblStylePr w:type="lastRow">
      <w:rPr>
        <w:b/>
      </w:rPr>
      <w:tblPr/>
      <w:tcPr>
        <w:shd w:val="clear" w:color="auto" w:fill="C6E7F5" w:themeFill="accent3" w:themeFillTint="66"/>
      </w:tcPr>
    </w:tblStylePr>
    <w:tblStylePr w:type="firstCol">
      <w:rPr>
        <w:b/>
        <w:color w:val="auto"/>
      </w:rPr>
      <w:tblPr/>
      <w:tcPr>
        <w:tcBorders>
          <w:insideH w:val="nil"/>
        </w:tcBorders>
        <w:shd w:val="clear" w:color="auto" w:fill="FFFFFF" w:themeFill="background1"/>
      </w:tcPr>
    </w:tblStylePr>
    <w:tblStylePr w:type="lastCol">
      <w:tblPr/>
      <w:tcPr>
        <w:shd w:val="clear" w:color="auto" w:fill="E2F3FA" w:themeFill="accent3" w:themeFillTint="33"/>
      </w:tcPr>
    </w:tblStylePr>
    <w:tblStylePr w:type="band2Vert">
      <w:tblPr/>
      <w:tcPr>
        <w:shd w:val="clear" w:color="auto" w:fill="E2F3FA" w:themeFill="accent3" w:themeFillTint="33"/>
      </w:tcPr>
    </w:tblStylePr>
    <w:tblStylePr w:type="band2Horz">
      <w:tblPr/>
      <w:tcPr>
        <w:shd w:val="clear" w:color="auto" w:fill="E2F3FA" w:themeFill="accent3" w:themeFillTint="33"/>
      </w:tcPr>
    </w:tblStylePr>
  </w:style>
  <w:style w:type="paragraph" w:customStyle="1" w:styleId="TableHeading">
    <w:name w:val="Table Heading"/>
    <w:basedOn w:val="Normal"/>
    <w:next w:val="BodyText"/>
    <w:uiPriority w:val="3"/>
    <w:qFormat/>
    <w:rsid w:val="00DC5165"/>
    <w:pPr>
      <w:spacing w:before="60" w:after="60"/>
      <w:ind w:left="113" w:right="113"/>
    </w:pPr>
    <w:rPr>
      <w:b/>
    </w:rPr>
  </w:style>
  <w:style w:type="paragraph" w:customStyle="1" w:styleId="TableText">
    <w:name w:val="Table Text"/>
    <w:aliases w:val="CMW Table Text"/>
    <w:basedOn w:val="Normal"/>
    <w:uiPriority w:val="3"/>
    <w:qFormat/>
    <w:rsid w:val="002F20D3"/>
    <w:pPr>
      <w:spacing w:before="60" w:after="60"/>
      <w:ind w:left="113" w:right="113"/>
    </w:pPr>
  </w:style>
  <w:style w:type="paragraph" w:customStyle="1" w:styleId="TableBullet">
    <w:name w:val="Table Bullet"/>
    <w:basedOn w:val="TableText"/>
    <w:uiPriority w:val="4"/>
    <w:qFormat/>
    <w:rsid w:val="00DC5165"/>
    <w:pPr>
      <w:numPr>
        <w:numId w:val="13"/>
      </w:numPr>
    </w:pPr>
  </w:style>
  <w:style w:type="paragraph" w:customStyle="1" w:styleId="TableNumber">
    <w:name w:val="Table Number"/>
    <w:basedOn w:val="TableText"/>
    <w:uiPriority w:val="4"/>
    <w:qFormat/>
    <w:rsid w:val="00573A3B"/>
    <w:pPr>
      <w:numPr>
        <w:numId w:val="15"/>
      </w:numPr>
    </w:pPr>
  </w:style>
  <w:style w:type="character" w:customStyle="1" w:styleId="Heading5Char">
    <w:name w:val="Heading 5 Char"/>
    <w:aliases w:val="CMW Heading 5 Char"/>
    <w:basedOn w:val="DefaultParagraphFont"/>
    <w:link w:val="Heading5"/>
    <w:rsid w:val="002F20D3"/>
    <w:rPr>
      <w:rFonts w:asciiTheme="majorHAnsi" w:eastAsia="Times New Roman" w:hAnsiTheme="majorHAnsi" w:cs="Times New Roman"/>
      <w:b/>
      <w:bCs/>
      <w:iCs/>
      <w:color w:val="003C5A" w:themeColor="text2"/>
      <w:sz w:val="20"/>
      <w:szCs w:val="26"/>
      <w:lang w:eastAsia="en-AU"/>
    </w:rPr>
  </w:style>
  <w:style w:type="character" w:customStyle="1" w:styleId="Heading6Char">
    <w:name w:val="Heading 6 Char"/>
    <w:basedOn w:val="DefaultParagraphFont"/>
    <w:link w:val="Heading6"/>
    <w:uiPriority w:val="99"/>
    <w:semiHidden/>
    <w:rsid w:val="00DF0684"/>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ind w:left="709"/>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link w:val="ListParagraphChar"/>
    <w:uiPriority w:val="34"/>
    <w:qFormat/>
    <w:rsid w:val="00D00835"/>
    <w:pPr>
      <w:numPr>
        <w:numId w:val="8"/>
      </w:numPr>
    </w:pPr>
  </w:style>
  <w:style w:type="paragraph" w:styleId="TOC4">
    <w:name w:val="toc 4"/>
    <w:basedOn w:val="TOC1"/>
    <w:next w:val="Normal"/>
    <w:uiPriority w:val="39"/>
    <w:rsid w:val="00DD12EA"/>
    <w:pPr>
      <w:tabs>
        <w:tab w:val="left" w:pos="567"/>
      </w:tabs>
      <w:ind w:left="851" w:hanging="851"/>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7"/>
    <w:rsid w:val="00813E0B"/>
    <w:pPr>
      <w:spacing w:before="180" w:after="180"/>
      <w:ind w:left="567" w:right="567"/>
      <w:jc w:val="center"/>
    </w:pPr>
    <w:rPr>
      <w:i/>
      <w:iCs/>
      <w:color w:val="71C5E8" w:themeColor="accent3"/>
    </w:rPr>
  </w:style>
  <w:style w:type="character" w:customStyle="1" w:styleId="QuoteChar">
    <w:name w:val="Quote Char"/>
    <w:basedOn w:val="DefaultParagraphFont"/>
    <w:link w:val="Quote"/>
    <w:uiPriority w:val="7"/>
    <w:rsid w:val="00813E0B"/>
    <w:rPr>
      <w:i/>
      <w:iCs/>
      <w:color w:val="71C5E8" w:themeColor="accent3"/>
      <w:sz w:val="20"/>
    </w:rPr>
  </w:style>
  <w:style w:type="paragraph" w:customStyle="1" w:styleId="FigureCaption">
    <w:name w:val="Figure Caption"/>
    <w:basedOn w:val="Normal"/>
    <w:next w:val="BodyText"/>
    <w:uiPriority w:val="6"/>
    <w:qFormat/>
    <w:rsid w:val="0055219D"/>
    <w:pPr>
      <w:tabs>
        <w:tab w:val="left" w:pos="1134"/>
      </w:tabs>
      <w:spacing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DD12EA"/>
    <w:pPr>
      <w:tabs>
        <w:tab w:val="left" w:pos="567"/>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D12EA"/>
    <w:pPr>
      <w:numPr>
        <w:numId w:val="3"/>
      </w:numPr>
    </w:pPr>
  </w:style>
  <w:style w:type="numbering" w:customStyle="1" w:styleId="ListParagraph">
    <w:name w:val="List_Paragraph"/>
    <w:uiPriority w:val="99"/>
    <w:rsid w:val="00D00835"/>
    <w:pPr>
      <w:numPr>
        <w:numId w:val="5"/>
      </w:numPr>
    </w:pPr>
  </w:style>
  <w:style w:type="paragraph" w:styleId="Caption">
    <w:name w:val="caption"/>
    <w:basedOn w:val="Normal"/>
    <w:next w:val="Normal"/>
    <w:uiPriority w:val="99"/>
    <w:semiHidden/>
    <w:qFormat/>
    <w:rsid w:val="0055219D"/>
    <w:pPr>
      <w:tabs>
        <w:tab w:val="left" w:pos="1134"/>
      </w:tabs>
      <w:spacing w:before="240"/>
      <w:ind w:left="1134" w:hanging="1134"/>
    </w:pPr>
    <w:rPr>
      <w:b/>
    </w:rPr>
  </w:style>
  <w:style w:type="paragraph" w:customStyle="1" w:styleId="ListAlpha0">
    <w:name w:val="List Alpha"/>
    <w:aliases w:val="CMW Alpha List,CMW Alpha List Spacing"/>
    <w:basedOn w:val="BodyText"/>
    <w:uiPriority w:val="2"/>
    <w:qFormat/>
    <w:rsid w:val="002F20D3"/>
    <w:pPr>
      <w:numPr>
        <w:numId w:val="23"/>
      </w:numPr>
      <w:spacing w:before="60" w:after="60"/>
    </w:pPr>
  </w:style>
  <w:style w:type="numbering" w:customStyle="1" w:styleId="ListAlpha">
    <w:name w:val="List_Alpha"/>
    <w:uiPriority w:val="99"/>
    <w:rsid w:val="00C538F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CromwellGridTable">
    <w:name w:val="Cromwell Grid Table"/>
    <w:basedOn w:val="TableNormal"/>
    <w:uiPriority w:val="99"/>
    <w:rsid w:val="0012110E"/>
    <w:pPr>
      <w:spacing w:before="0" w:after="0"/>
      <w:ind w:left="113" w:right="113"/>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05EB8" w:themeFill="accent1"/>
      </w:tcPr>
    </w:tblStylePr>
    <w:tblStylePr w:type="lastRow">
      <w:rPr>
        <w:b/>
      </w:rPr>
      <w:tblPr/>
      <w:tcPr>
        <w:shd w:val="clear" w:color="auto" w:fill="C6E7F5" w:themeFill="accent3" w:themeFillTint="66"/>
      </w:tcPr>
    </w:tblStylePr>
    <w:tblStylePr w:type="firstCol">
      <w:tblPr/>
      <w:tcPr>
        <w:tcBorders>
          <w:insideH w:val="nil"/>
        </w:tcBorders>
        <w:shd w:val="clear" w:color="auto" w:fill="005EB8" w:themeFill="accent1"/>
      </w:tcPr>
    </w:tblStylePr>
    <w:tblStylePr w:type="lastCol">
      <w:tblPr/>
      <w:tcPr>
        <w:shd w:val="clear" w:color="auto" w:fill="E2F3FA" w:themeFill="accent3" w:themeFillTint="33"/>
      </w:tcPr>
    </w:tblStylePr>
    <w:tblStylePr w:type="band2Vert">
      <w:tblPr/>
      <w:tcPr>
        <w:shd w:val="clear" w:color="auto" w:fill="E2F3FA" w:themeFill="accent3" w:themeFillTint="33"/>
      </w:tcPr>
    </w:tblStylePr>
    <w:tblStylePr w:type="band2Horz">
      <w:tblPr/>
      <w:tcPr>
        <w:shd w:val="clear" w:color="auto" w:fill="E2F3FA" w:themeFill="accent3" w:themeFillTint="33"/>
      </w:tcPr>
    </w:tblStylePr>
  </w:style>
  <w:style w:type="character" w:styleId="FollowedHyperlink">
    <w:name w:val="FollowedHyperlink"/>
    <w:basedOn w:val="DefaultParagraphFont"/>
    <w:uiPriority w:val="15"/>
    <w:rsid w:val="004709CC"/>
    <w:rPr>
      <w:color w:val="005EB8" w:themeColor="accent1"/>
      <w:u w:val="single"/>
    </w:rPr>
  </w:style>
  <w:style w:type="paragraph" w:customStyle="1" w:styleId="AppendixH1">
    <w:name w:val="Appendix H1"/>
    <w:basedOn w:val="Normal"/>
    <w:next w:val="BodyText"/>
    <w:uiPriority w:val="12"/>
    <w:semiHidden/>
    <w:rsid w:val="00DF0684"/>
    <w:pPr>
      <w:pageBreakBefore/>
      <w:tabs>
        <w:tab w:val="left" w:pos="567"/>
      </w:tabs>
      <w:spacing w:before="60" w:after="320"/>
      <w:outlineLvl w:val="0"/>
    </w:pPr>
    <w:rPr>
      <w:b/>
      <w:sz w:val="36"/>
    </w:rPr>
  </w:style>
  <w:style w:type="paragraph" w:customStyle="1" w:styleId="AppendixH2">
    <w:name w:val="Appendix H2"/>
    <w:basedOn w:val="Heading2"/>
    <w:next w:val="BodyText"/>
    <w:uiPriority w:val="12"/>
    <w:semiHidden/>
    <w:rsid w:val="00DF0684"/>
    <w:pPr>
      <w:tabs>
        <w:tab w:val="left" w:pos="851"/>
      </w:tabs>
    </w:pPr>
    <w:rPr>
      <w:iCs w:val="0"/>
    </w:rPr>
  </w:style>
  <w:style w:type="paragraph" w:customStyle="1" w:styleId="AppendixH3">
    <w:name w:val="Appendix H3"/>
    <w:basedOn w:val="Heading3"/>
    <w:next w:val="BodyText"/>
    <w:uiPriority w:val="12"/>
    <w:semiHidden/>
    <w:rsid w:val="00DF0684"/>
    <w:pPr>
      <w:tabs>
        <w:tab w:val="left" w:pos="851"/>
      </w:tabs>
    </w:pPr>
  </w:style>
  <w:style w:type="paragraph" w:customStyle="1" w:styleId="ListAlpha2">
    <w:name w:val="List Alpha 2"/>
    <w:aliases w:val="CMW Roman List,CMW Roman List Spacing"/>
    <w:basedOn w:val="ListAlpha0"/>
    <w:uiPriority w:val="19"/>
    <w:rsid w:val="002F20D3"/>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aliases w:val="CMW Bullet List"/>
    <w:basedOn w:val="ListBullet0"/>
    <w:uiPriority w:val="3"/>
    <w:qFormat/>
    <w:rsid w:val="002F20D3"/>
    <w:pPr>
      <w:numPr>
        <w:ilvl w:val="1"/>
      </w:numPr>
    </w:pPr>
  </w:style>
  <w:style w:type="paragraph" w:styleId="ListBullet3">
    <w:name w:val="List Bullet 3"/>
    <w:aliases w:val="CMW Bullet Level 2"/>
    <w:basedOn w:val="ListBullet0"/>
    <w:uiPriority w:val="19"/>
    <w:rsid w:val="002F20D3"/>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D00835"/>
    <w:pPr>
      <w:numPr>
        <w:ilvl w:val="1"/>
      </w:numPr>
    </w:pPr>
  </w:style>
  <w:style w:type="paragraph" w:customStyle="1" w:styleId="ListParagraph3">
    <w:name w:val="List Paragraph 3"/>
    <w:basedOn w:val="ListParagraph0"/>
    <w:uiPriority w:val="19"/>
    <w:rsid w:val="00D00835"/>
    <w:pPr>
      <w:numPr>
        <w:ilvl w:val="2"/>
      </w:numPr>
    </w:pPr>
  </w:style>
  <w:style w:type="paragraph" w:customStyle="1" w:styleId="ListParagraph4">
    <w:name w:val="List Paragraph 4"/>
    <w:basedOn w:val="ListParagraph0"/>
    <w:uiPriority w:val="19"/>
    <w:rsid w:val="00D00835"/>
    <w:pPr>
      <w:numPr>
        <w:ilvl w:val="3"/>
      </w:numPr>
    </w:pPr>
  </w:style>
  <w:style w:type="paragraph" w:customStyle="1" w:styleId="ListParagraph5">
    <w:name w:val="List Paragraph 5"/>
    <w:basedOn w:val="ListParagraph0"/>
    <w:uiPriority w:val="19"/>
    <w:rsid w:val="00D00835"/>
    <w:pPr>
      <w:numPr>
        <w:ilvl w:val="4"/>
      </w:numPr>
    </w:pPr>
  </w:style>
  <w:style w:type="paragraph" w:customStyle="1" w:styleId="ListParagraph6">
    <w:name w:val="List Paragraph 6"/>
    <w:basedOn w:val="ListParagraph0"/>
    <w:uiPriority w:val="19"/>
    <w:rsid w:val="00D00835"/>
    <w:pPr>
      <w:numPr>
        <w:ilvl w:val="5"/>
      </w:numPr>
    </w:pPr>
  </w:style>
  <w:style w:type="numbering" w:customStyle="1" w:styleId="ListBullet">
    <w:name w:val="List_Bullet"/>
    <w:uiPriority w:val="99"/>
    <w:rsid w:val="00D00835"/>
    <w:pPr>
      <w:numPr>
        <w:numId w:val="2"/>
      </w:numPr>
    </w:pPr>
  </w:style>
  <w:style w:type="numbering" w:customStyle="1" w:styleId="ListTableBullet">
    <w:name w:val="List_TableBullet"/>
    <w:uiPriority w:val="99"/>
    <w:rsid w:val="00DC5165"/>
    <w:pPr>
      <w:numPr>
        <w:numId w:val="6"/>
      </w:numPr>
    </w:pPr>
  </w:style>
  <w:style w:type="numbering" w:customStyle="1" w:styleId="ListTableNumber">
    <w:name w:val="List_TableNumber"/>
    <w:uiPriority w:val="99"/>
    <w:rsid w:val="00573A3B"/>
    <w:pPr>
      <w:numPr>
        <w:numId w:val="7"/>
      </w:numPr>
    </w:pPr>
  </w:style>
  <w:style w:type="paragraph" w:customStyle="1" w:styleId="TableBullet2">
    <w:name w:val="Table Bullet 2"/>
    <w:basedOn w:val="TableBullet"/>
    <w:uiPriority w:val="19"/>
    <w:rsid w:val="00DC5165"/>
    <w:pPr>
      <w:numPr>
        <w:ilvl w:val="1"/>
      </w:numPr>
    </w:pPr>
  </w:style>
  <w:style w:type="paragraph" w:customStyle="1" w:styleId="TableNumber2">
    <w:name w:val="Table Number 2"/>
    <w:basedOn w:val="TableNumber"/>
    <w:uiPriority w:val="19"/>
    <w:rsid w:val="00573A3B"/>
    <w:pPr>
      <w:numPr>
        <w:ilvl w:val="1"/>
      </w:numPr>
    </w:pPr>
  </w:style>
  <w:style w:type="paragraph" w:customStyle="1" w:styleId="BodyText4">
    <w:name w:val="Body Text 4"/>
    <w:basedOn w:val="BodyText3"/>
    <w:uiPriority w:val="99"/>
    <w:semiHidden/>
    <w:qFormat/>
    <w:rsid w:val="00444AE6"/>
    <w:pPr>
      <w:numPr>
        <w:ilvl w:val="3"/>
      </w:numPr>
      <w:ind w:left="709"/>
    </w:pPr>
  </w:style>
  <w:style w:type="paragraph" w:customStyle="1" w:styleId="BodyText5">
    <w:name w:val="Body Text 5"/>
    <w:basedOn w:val="BodyText4"/>
    <w:uiPriority w:val="99"/>
    <w:semiHidden/>
    <w:qFormat/>
    <w:rsid w:val="00444AE6"/>
    <w:pPr>
      <w:numPr>
        <w:ilvl w:val="4"/>
      </w:numPr>
      <w:ind w:left="709"/>
    </w:pPr>
  </w:style>
  <w:style w:type="paragraph" w:customStyle="1" w:styleId="BodyText6">
    <w:name w:val="Body Text 6"/>
    <w:basedOn w:val="BodyText5"/>
    <w:uiPriority w:val="99"/>
    <w:semiHidden/>
    <w:qFormat/>
    <w:rsid w:val="00444AE6"/>
    <w:pPr>
      <w:numPr>
        <w:ilvl w:val="5"/>
      </w:numPr>
      <w:ind w:left="709"/>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468D8"/>
    <w:pPr>
      <w:spacing w:before="0" w:after="0"/>
    </w:pPr>
    <w:tblPr/>
  </w:style>
  <w:style w:type="paragraph" w:customStyle="1" w:styleId="CoverDetails">
    <w:name w:val="Cover Details"/>
    <w:aliases w:val="CMW Cover Page"/>
    <w:basedOn w:val="BodyText"/>
    <w:next w:val="BodyText"/>
    <w:uiPriority w:val="11"/>
    <w:rsid w:val="00813E0B"/>
    <w:pPr>
      <w:spacing w:before="360" w:after="240"/>
    </w:pPr>
    <w:rPr>
      <w:b/>
      <w:color w:val="003C5A" w:themeColor="accent2"/>
      <w:sz w:val="24"/>
      <w:lang w:eastAsia="en-US"/>
    </w:rPr>
  </w:style>
  <w:style w:type="paragraph" w:styleId="BodyTextIndent">
    <w:name w:val="Body Text Indent"/>
    <w:basedOn w:val="Normal"/>
    <w:link w:val="BodyTextIndentChar"/>
    <w:uiPriority w:val="1"/>
    <w:semiHidden/>
    <w:rsid w:val="00C538FE"/>
    <w:pPr>
      <w:spacing w:line="264" w:lineRule="auto"/>
      <w:ind w:left="851"/>
    </w:pPr>
  </w:style>
  <w:style w:type="character" w:customStyle="1" w:styleId="BodyTextIndentChar">
    <w:name w:val="Body Text Indent Char"/>
    <w:basedOn w:val="DefaultParagraphFont"/>
    <w:link w:val="BodyTextIndent"/>
    <w:uiPriority w:val="1"/>
    <w:semiHidden/>
    <w:rsid w:val="0012110E"/>
    <w:rPr>
      <w:sz w:val="20"/>
    </w:rPr>
  </w:style>
  <w:style w:type="paragraph" w:customStyle="1" w:styleId="TableNumber3">
    <w:name w:val="Table Number 3"/>
    <w:basedOn w:val="TableNumber"/>
    <w:uiPriority w:val="19"/>
    <w:rsid w:val="00573A3B"/>
    <w:pPr>
      <w:numPr>
        <w:ilvl w:val="2"/>
      </w:numPr>
    </w:pPr>
  </w:style>
  <w:style w:type="paragraph" w:customStyle="1" w:styleId="TableNumber4">
    <w:name w:val="Table Number 4"/>
    <w:basedOn w:val="TableNumber"/>
    <w:uiPriority w:val="19"/>
    <w:rsid w:val="00573A3B"/>
    <w:pPr>
      <w:numPr>
        <w:ilvl w:val="3"/>
      </w:numPr>
    </w:pPr>
  </w:style>
  <w:style w:type="paragraph" w:customStyle="1" w:styleId="TableNumber5">
    <w:name w:val="Table Number 5"/>
    <w:basedOn w:val="TableNumber"/>
    <w:uiPriority w:val="19"/>
    <w:rsid w:val="00573A3B"/>
    <w:pPr>
      <w:numPr>
        <w:ilvl w:val="4"/>
      </w:numPr>
    </w:pPr>
  </w:style>
  <w:style w:type="paragraph" w:styleId="FootnoteText">
    <w:name w:val="footnote text"/>
    <w:basedOn w:val="Normal"/>
    <w:link w:val="FootnoteTextChar"/>
    <w:uiPriority w:val="14"/>
    <w:rsid w:val="008A1B26"/>
    <w:pPr>
      <w:tabs>
        <w:tab w:val="left" w:pos="284"/>
      </w:tabs>
      <w:spacing w:before="0" w:after="0" w:line="200" w:lineRule="atLeast"/>
      <w:ind w:left="851" w:hanging="142"/>
    </w:pPr>
    <w:rPr>
      <w:sz w:val="14"/>
      <w:szCs w:val="20"/>
    </w:rPr>
  </w:style>
  <w:style w:type="character" w:customStyle="1" w:styleId="FootnoteTextChar">
    <w:name w:val="Footnote Text Char"/>
    <w:basedOn w:val="DefaultParagraphFont"/>
    <w:link w:val="FootnoteText"/>
    <w:uiPriority w:val="14"/>
    <w:rsid w:val="008A1B26"/>
    <w:rPr>
      <w:rFonts w:eastAsia="Times New Roman" w:cs="Times New Roman"/>
      <w:sz w:val="14"/>
      <w:szCs w:val="20"/>
      <w:lang w:eastAsia="en-AU"/>
    </w:rPr>
  </w:style>
  <w:style w:type="character" w:styleId="FootnoteReference">
    <w:name w:val="footnote reference"/>
    <w:basedOn w:val="DefaultParagraphFont"/>
    <w:uiPriority w:val="14"/>
    <w:semiHidden/>
    <w:rsid w:val="00DD12EA"/>
    <w:rPr>
      <w:color w:val="auto"/>
      <w:vertAlign w:val="superscript"/>
    </w:rPr>
  </w:style>
  <w:style w:type="numbering" w:customStyle="1" w:styleId="ListNumberedHeadings">
    <w:name w:val="List_NumberedHeadings"/>
    <w:uiPriority w:val="99"/>
    <w:rsid w:val="00AE5ACF"/>
    <w:pPr>
      <w:numPr>
        <w:numId w:val="32"/>
      </w:numPr>
    </w:pPr>
  </w:style>
  <w:style w:type="paragraph" w:customStyle="1" w:styleId="StyleHeading1CMWHeading1CMWLevel1Justified">
    <w:name w:val="Style Heading 1CMW Heading 1CMW Level 1 + Justified"/>
    <w:basedOn w:val="Heading1"/>
    <w:rsid w:val="00AE5ACF"/>
    <w:pPr>
      <w:numPr>
        <w:numId w:val="0"/>
      </w:numPr>
      <w:pBdr>
        <w:bottom w:val="single" w:sz="6" w:space="6" w:color="003C5A" w:themeColor="accent2"/>
      </w:pBdr>
      <w:tabs>
        <w:tab w:val="num" w:pos="425"/>
      </w:tabs>
      <w:ind w:left="425" w:hanging="425"/>
      <w:jc w:val="both"/>
    </w:pPr>
    <w:rPr>
      <w:rFonts w:cs="Times New Roman"/>
      <w:color w:val="003C5A" w:themeColor="accent2"/>
      <w:sz w:val="48"/>
      <w:szCs w:val="20"/>
    </w:rPr>
  </w:style>
  <w:style w:type="paragraph" w:customStyle="1" w:styleId="StyleStyleTitleCMWTitleCenteredLeftLeft1cm">
    <w:name w:val="Style Style TitleCMW Title + Centered + Left Left:  1 cm"/>
    <w:basedOn w:val="Normal"/>
    <w:rsid w:val="00AE5ACF"/>
    <w:pPr>
      <w:spacing w:before="60" w:line="680" w:lineRule="exact"/>
      <w:ind w:left="567"/>
    </w:pPr>
    <w:rPr>
      <w:rFonts w:ascii="Arial" w:hAnsi="Arial"/>
      <w:b/>
      <w:bCs/>
      <w:color w:val="003C5A" w:themeColor="accent2"/>
      <w:sz w:val="72"/>
      <w:szCs w:val="20"/>
    </w:rPr>
  </w:style>
  <w:style w:type="table" w:styleId="ListTable1Light-Accent3">
    <w:name w:val="List Table 1 Light Accent 3"/>
    <w:basedOn w:val="TableNormal"/>
    <w:uiPriority w:val="46"/>
    <w:rsid w:val="00AE6BDF"/>
    <w:pPr>
      <w:spacing w:after="0" w:line="240" w:lineRule="auto"/>
    </w:pPr>
    <w:tblPr>
      <w:tblStyleRowBandSize w:val="1"/>
      <w:tblStyleColBandSize w:val="1"/>
    </w:tblPr>
    <w:tblStylePr w:type="firstRow">
      <w:rPr>
        <w:b/>
        <w:bCs/>
      </w:rPr>
      <w:tblPr/>
      <w:tcPr>
        <w:tcBorders>
          <w:bottom w:val="single" w:sz="4" w:space="0" w:color="A9DCF1" w:themeColor="accent3" w:themeTint="99"/>
        </w:tcBorders>
      </w:tcPr>
    </w:tblStylePr>
    <w:tblStylePr w:type="lastRow">
      <w:rPr>
        <w:b/>
        <w:bCs/>
      </w:rPr>
      <w:tblPr/>
      <w:tcPr>
        <w:tcBorders>
          <w:top w:val="single" w:sz="4" w:space="0" w:color="A9DCF1" w:themeColor="accent3" w:themeTint="99"/>
        </w:tcBorders>
      </w:tcPr>
    </w:tblStylePr>
    <w:tblStylePr w:type="firstCol">
      <w:rPr>
        <w:b/>
        <w:bCs/>
      </w:rPr>
    </w:tblStylePr>
    <w:tblStylePr w:type="lastCol">
      <w:rPr>
        <w:b/>
        <w:bCs/>
      </w:rPr>
    </w:tblStylePr>
    <w:tblStylePr w:type="band1Vert">
      <w:tblPr/>
      <w:tcPr>
        <w:shd w:val="clear" w:color="auto" w:fill="E2F3FA" w:themeFill="accent3" w:themeFillTint="33"/>
      </w:tcPr>
    </w:tblStylePr>
    <w:tblStylePr w:type="band1Horz">
      <w:tblPr/>
      <w:tcPr>
        <w:shd w:val="clear" w:color="auto" w:fill="E2F3FA" w:themeFill="accent3" w:themeFillTint="33"/>
      </w:tcPr>
    </w:tblStylePr>
  </w:style>
  <w:style w:type="character" w:customStyle="1" w:styleId="ListParagraphChar">
    <w:name w:val="List Paragraph Char"/>
    <w:basedOn w:val="DefaultParagraphFont"/>
    <w:link w:val="ListParagraph0"/>
    <w:uiPriority w:val="34"/>
    <w:rsid w:val="004667B7"/>
    <w:rPr>
      <w:rFonts w:eastAsia="Times New Roman" w:cs="Times New Roman"/>
      <w:sz w:val="20"/>
      <w:szCs w:val="24"/>
      <w:lang w:eastAsia="en-AU"/>
    </w:rPr>
  </w:style>
  <w:style w:type="character" w:styleId="CommentReference">
    <w:name w:val="annotation reference"/>
    <w:basedOn w:val="DefaultParagraphFont"/>
    <w:uiPriority w:val="99"/>
    <w:unhideWhenUsed/>
    <w:rsid w:val="004667B7"/>
    <w:rPr>
      <w:sz w:val="16"/>
      <w:szCs w:val="16"/>
    </w:rPr>
  </w:style>
  <w:style w:type="paragraph" w:styleId="CommentText">
    <w:name w:val="annotation text"/>
    <w:basedOn w:val="Normal"/>
    <w:link w:val="CommentTextChar"/>
    <w:unhideWhenUsed/>
    <w:rsid w:val="004667B7"/>
    <w:pPr>
      <w:spacing w:before="0" w:after="0" w:line="240" w:lineRule="auto"/>
      <w:ind w:left="0"/>
    </w:pPr>
    <w:rPr>
      <w:rFonts w:ascii="Times New Roman" w:hAnsi="Times New Roman"/>
      <w:szCs w:val="20"/>
    </w:rPr>
  </w:style>
  <w:style w:type="character" w:customStyle="1" w:styleId="CommentTextChar">
    <w:name w:val="Comment Text Char"/>
    <w:basedOn w:val="DefaultParagraphFont"/>
    <w:link w:val="CommentText"/>
    <w:rsid w:val="004667B7"/>
    <w:rPr>
      <w:rFonts w:ascii="Times New Roman" w:eastAsia="Times New Roman" w:hAnsi="Times New Roman" w:cs="Times New Roman"/>
      <w:sz w:val="20"/>
      <w:szCs w:val="20"/>
      <w:lang w:eastAsia="en-AU"/>
    </w:rPr>
  </w:style>
  <w:style w:type="paragraph" w:styleId="Revision">
    <w:name w:val="Revision"/>
    <w:hidden/>
    <w:uiPriority w:val="99"/>
    <w:semiHidden/>
    <w:rsid w:val="00F325FF"/>
    <w:pPr>
      <w:spacing w:before="0" w:after="0" w:line="240" w:lineRule="auto"/>
    </w:pPr>
    <w:rPr>
      <w:rFonts w:eastAsia="Times New Roman" w:cs="Times New Roman"/>
      <w:sz w:val="20"/>
      <w:szCs w:val="24"/>
      <w:lang w:eastAsia="en-AU"/>
    </w:rPr>
  </w:style>
  <w:style w:type="paragraph" w:styleId="CommentSubject">
    <w:name w:val="annotation subject"/>
    <w:basedOn w:val="CommentText"/>
    <w:next w:val="CommentText"/>
    <w:link w:val="CommentSubjectChar"/>
    <w:uiPriority w:val="99"/>
    <w:semiHidden/>
    <w:unhideWhenUsed/>
    <w:rsid w:val="006C6218"/>
    <w:pPr>
      <w:spacing w:before="120" w:after="120"/>
      <w:ind w:left="709"/>
    </w:pPr>
    <w:rPr>
      <w:rFonts w:asciiTheme="minorHAnsi" w:hAnsiTheme="minorHAnsi"/>
      <w:b/>
      <w:bCs/>
    </w:rPr>
  </w:style>
  <w:style w:type="character" w:customStyle="1" w:styleId="CommentSubjectChar">
    <w:name w:val="Comment Subject Char"/>
    <w:basedOn w:val="CommentTextChar"/>
    <w:link w:val="CommentSubject"/>
    <w:uiPriority w:val="99"/>
    <w:semiHidden/>
    <w:rsid w:val="006C6218"/>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0557D8"/>
    <w:pPr>
      <w:spacing w:before="100" w:beforeAutospacing="1" w:after="100" w:afterAutospacing="1" w:line="240" w:lineRule="auto"/>
      <w:ind w:left="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711">
      <w:bodyDiv w:val="1"/>
      <w:marLeft w:val="0"/>
      <w:marRight w:val="0"/>
      <w:marTop w:val="0"/>
      <w:marBottom w:val="0"/>
      <w:divBdr>
        <w:top w:val="none" w:sz="0" w:space="0" w:color="auto"/>
        <w:left w:val="none" w:sz="0" w:space="0" w:color="auto"/>
        <w:bottom w:val="none" w:sz="0" w:space="0" w:color="auto"/>
        <w:right w:val="none" w:sz="0" w:space="0" w:color="auto"/>
      </w:divBdr>
    </w:div>
    <w:div w:id="19219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mwell.com.au/advisers/cromwell-direct-property-fund" TargetMode="Externa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mwell.com.au/dp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nathan.Bredin\OneDrive%20-%20Cromwell%20Corporation%20Limited\Documents\Checked%20Out\Funds%20Management%20GENERAL\Fund%20Flyer%20Inputs%2031%20March%202024%20DPF%20ONLY(1216728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nathan.Bredin\OneDrive%20-%20Cromwell%20Corporation%20Limited\Documents\Checked%20Out\Funds%20Management%20GENERAL\Fund%20Flyer%20Inputs%20December%20DPF%20ONLY%20DRAFT(1210441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nathan.Bredin\OneDrive%20-%20Cromwell%20Corporation%20Limited\Documents\Checked%20Out\Funds%20Management%20GENERAL\Fund%20Flyer%20Inputs%2031%20March%202024%20DPF%20ONLY(1216728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nathan.Bredin\OneDrive%20-%20Cromwell%20Corporation%20Limited\Documents\Checked%20Out\Funds%20Management%20GENERAL\Fund%20Flyer%20Inputs%2031%20March%202024%20DPF%20ONLY(12167288.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956905078956908E-2"/>
          <c:y val="0.16147785046469329"/>
          <c:w val="0.52612205335343243"/>
          <c:h val="0.70298790343008521"/>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0A-4346-A858-C0244BA968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0A-4346-A858-C0244BA968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0A-4346-A858-C0244BA968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0A-4346-A858-C0244BA968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0A-4346-A858-C0244BA9681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50A-4346-A858-C0244BA9681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50A-4346-A858-C0244BA9681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50A-4346-A858-C0244BA9681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50A-4346-A858-C0244BA968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DPF!$C$62:$C$70</c:f>
              <c:strCache>
                <c:ptCount val="9"/>
                <c:pt idx="0">
                  <c:v>Energex House, Newstead QLD</c:v>
                </c:pt>
                <c:pt idx="1">
                  <c:v>19 George Street, Dandenong, VIC</c:v>
                </c:pt>
                <c:pt idx="2">
                  <c:v>433 Boundary Street, Spring Hill, QLD</c:v>
                </c:pt>
                <c:pt idx="3">
                  <c:v>420 Flinders Street, Townsville</c:v>
                </c:pt>
                <c:pt idx="4">
                  <c:v>O'Riordan St (Mascot)</c:v>
                </c:pt>
                <c:pt idx="5">
                  <c:v>Farrer Place Queanbeyan</c:v>
                </c:pt>
                <c:pt idx="6">
                  <c:v>545 Queen Street Brisbane</c:v>
                </c:pt>
                <c:pt idx="7">
                  <c:v>100 Creek Street Brisbane</c:v>
                </c:pt>
                <c:pt idx="8">
                  <c:v>95 Grenfell St, Adelaide SA</c:v>
                </c:pt>
              </c:strCache>
            </c:strRef>
          </c:cat>
          <c:val>
            <c:numRef>
              <c:f>DPF!$H$62:$H$70</c:f>
              <c:numCache>
                <c:formatCode>0.0</c:formatCode>
                <c:ptCount val="9"/>
                <c:pt idx="0">
                  <c:v>66.254000000000005</c:v>
                </c:pt>
                <c:pt idx="1">
                  <c:v>17.326000000000001</c:v>
                </c:pt>
                <c:pt idx="2">
                  <c:v>40</c:v>
                </c:pt>
                <c:pt idx="3">
                  <c:v>60.5</c:v>
                </c:pt>
                <c:pt idx="4">
                  <c:v>108.25</c:v>
                </c:pt>
                <c:pt idx="5">
                  <c:v>34.450000000000003</c:v>
                </c:pt>
                <c:pt idx="6">
                  <c:v>84.7</c:v>
                </c:pt>
                <c:pt idx="7">
                  <c:v>165</c:v>
                </c:pt>
                <c:pt idx="8">
                  <c:v>70.7</c:v>
                </c:pt>
              </c:numCache>
            </c:numRef>
          </c:val>
          <c:extLst>
            <c:ext xmlns:c16="http://schemas.microsoft.com/office/drawing/2014/chart" uri="{C3380CC4-5D6E-409C-BE32-E72D297353CC}">
              <c16:uniqueId val="{00000012-550A-4346-A858-C0244BA96812}"/>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2430856781488253"/>
          <c:y val="0.12137142920930195"/>
          <c:w val="0.34059236652624031"/>
          <c:h val="0.828905589729035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Investment Portfolio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888D-4B48-B85F-7BFCE5C4D886}"/>
              </c:ext>
            </c:extLst>
          </c:dPt>
          <c:dPt>
            <c:idx val="1"/>
            <c:bubble3D val="0"/>
            <c:spPr>
              <a:solidFill>
                <a:schemeClr val="accent2"/>
              </a:solidFill>
              <a:ln w="19050">
                <a:noFill/>
              </a:ln>
              <a:effectLst/>
            </c:spPr>
            <c:extLst>
              <c:ext xmlns:c16="http://schemas.microsoft.com/office/drawing/2014/chart" uri="{C3380CC4-5D6E-409C-BE32-E72D297353CC}">
                <c16:uniqueId val="{00000003-888D-4B48-B85F-7BFCE5C4D886}"/>
              </c:ext>
            </c:extLst>
          </c:dPt>
          <c:dPt>
            <c:idx val="2"/>
            <c:bubble3D val="0"/>
            <c:spPr>
              <a:solidFill>
                <a:schemeClr val="accent3"/>
              </a:solidFill>
              <a:ln w="19050">
                <a:noFill/>
              </a:ln>
              <a:effectLst/>
            </c:spPr>
            <c:extLst>
              <c:ext xmlns:c16="http://schemas.microsoft.com/office/drawing/2014/chart" uri="{C3380CC4-5D6E-409C-BE32-E72D297353CC}">
                <c16:uniqueId val="{00000005-888D-4B48-B85F-7BFCE5C4D886}"/>
              </c:ext>
            </c:extLst>
          </c:dPt>
          <c:dPt>
            <c:idx val="3"/>
            <c:bubble3D val="0"/>
            <c:spPr>
              <a:solidFill>
                <a:srgbClr val="FFA100"/>
              </a:solidFill>
              <a:ln w="19050">
                <a:noFill/>
              </a:ln>
              <a:effectLst/>
            </c:spPr>
            <c:extLst>
              <c:ext xmlns:c16="http://schemas.microsoft.com/office/drawing/2014/chart" uri="{C3380CC4-5D6E-409C-BE32-E72D297353CC}">
                <c16:uniqueId val="{00000007-888D-4B48-B85F-7BFCE5C4D886}"/>
              </c:ext>
            </c:extLst>
          </c:dPt>
          <c:dLbls>
            <c:dLbl>
              <c:idx val="3"/>
              <c:layout>
                <c:manualLayout>
                  <c:x val="2.2900761982282743E-3"/>
                  <c:y val="-2.6548667941490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8D-4B48-B85F-7BFCE5C4D8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DPF!$L$90:$L$92</c:f>
              <c:strCache>
                <c:ptCount val="3"/>
                <c:pt idx="0">
                  <c:v>Direct assets</c:v>
                </c:pt>
                <c:pt idx="1">
                  <c:v>Cromwell Riverpark Trust</c:v>
                </c:pt>
                <c:pt idx="2">
                  <c:v>Cromwell Property Trust 12</c:v>
                </c:pt>
              </c:strCache>
            </c:strRef>
          </c:cat>
          <c:val>
            <c:numRef>
              <c:f>DPF!$N$90:$N$92</c:f>
              <c:numCache>
                <c:formatCode>0.0%</c:formatCode>
                <c:ptCount val="3"/>
                <c:pt idx="0">
                  <c:v>0.8708550944095923</c:v>
                </c:pt>
                <c:pt idx="1">
                  <c:v>0.10237337371364999</c:v>
                </c:pt>
                <c:pt idx="2">
                  <c:v>2.6771531876757623E-2</c:v>
                </c:pt>
              </c:numCache>
            </c:numRef>
          </c:val>
          <c:extLst>
            <c:ext xmlns:c16="http://schemas.microsoft.com/office/drawing/2014/chart" uri="{C3380CC4-5D6E-409C-BE32-E72D297353CC}">
              <c16:uniqueId val="{00000008-888D-4B48-B85F-7BFCE5C4D886}"/>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latin typeface="Arial Narrow" panose="020B0606020202030204" pitchFamily="34" charset="0"/>
              </a:rPr>
              <a:t>Geographic Diversification by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14-483F-8ED8-2FE288B82E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14-483F-8ED8-2FE288B82E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14-483F-8ED8-2FE288B82E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14-483F-8ED8-2FE288B82E4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14-483F-8ED8-2FE288B82E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DPF!$H$82:$H$85</c:f>
              <c:strCache>
                <c:ptCount val="4"/>
                <c:pt idx="0">
                  <c:v>QLD</c:v>
                </c:pt>
                <c:pt idx="1">
                  <c:v>NSW</c:v>
                </c:pt>
                <c:pt idx="2">
                  <c:v>VIC</c:v>
                </c:pt>
                <c:pt idx="3">
                  <c:v>SA</c:v>
                </c:pt>
              </c:strCache>
            </c:strRef>
          </c:cat>
          <c:val>
            <c:numRef>
              <c:f>DPF!$J$82:$J$85</c:f>
              <c:numCache>
                <c:formatCode>0.0%</c:formatCode>
                <c:ptCount val="4"/>
                <c:pt idx="0">
                  <c:v>0.66535985329508973</c:v>
                </c:pt>
                <c:pt idx="1">
                  <c:v>0.20689468171057671</c:v>
                </c:pt>
                <c:pt idx="2">
                  <c:v>2.4612077736245717E-2</c:v>
                </c:pt>
                <c:pt idx="3">
                  <c:v>0.10313338725808792</c:v>
                </c:pt>
              </c:numCache>
            </c:numRef>
          </c:val>
          <c:extLst>
            <c:ext xmlns:c16="http://schemas.microsoft.com/office/drawing/2014/chart" uri="{C3380CC4-5D6E-409C-BE32-E72D297353CC}">
              <c16:uniqueId val="{0000000A-5214-483F-8ED8-2FE288B82E4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Tenant type by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F9-4B96-92D4-01422E881D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F9-4B96-92D4-01422E881D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F9-4B96-92D4-01422E881DE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DPF!$H$75:$H$77</c:f>
              <c:strCache>
                <c:ptCount val="3"/>
                <c:pt idx="0">
                  <c:v>Government</c:v>
                </c:pt>
                <c:pt idx="1">
                  <c:v>Listed Company</c:v>
                </c:pt>
                <c:pt idx="2">
                  <c:v>Other</c:v>
                </c:pt>
              </c:strCache>
            </c:strRef>
          </c:cat>
          <c:val>
            <c:numRef>
              <c:f>DPF!$J$75:$J$77</c:f>
              <c:numCache>
                <c:formatCode>0%</c:formatCode>
                <c:ptCount val="3"/>
                <c:pt idx="0">
                  <c:v>0.37298128343480197</c:v>
                </c:pt>
                <c:pt idx="1">
                  <c:v>0.16166748583112986</c:v>
                </c:pt>
                <c:pt idx="2">
                  <c:v>0.4653512307340682</c:v>
                </c:pt>
              </c:numCache>
            </c:numRef>
          </c:val>
          <c:extLst>
            <c:ext xmlns:c16="http://schemas.microsoft.com/office/drawing/2014/chart" uri="{C3380CC4-5D6E-409C-BE32-E72D297353CC}">
              <c16:uniqueId val="{00000006-49F9-4B96-92D4-01422E881DE6}"/>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orporate theme">
  <a:themeElements>
    <a:clrScheme name="Cromwell Colour Palette">
      <a:dk1>
        <a:sysClr val="windowText" lastClr="000000"/>
      </a:dk1>
      <a:lt1>
        <a:sysClr val="window" lastClr="FFFFFF"/>
      </a:lt1>
      <a:dk2>
        <a:srgbClr val="003C5A"/>
      </a:dk2>
      <a:lt2>
        <a:srgbClr val="BFCED6"/>
      </a:lt2>
      <a:accent1>
        <a:srgbClr val="005EB8"/>
      </a:accent1>
      <a:accent2>
        <a:srgbClr val="003C5A"/>
      </a:accent2>
      <a:accent3>
        <a:srgbClr val="71C5E8"/>
      </a:accent3>
      <a:accent4>
        <a:srgbClr val="C4D600"/>
      </a:accent4>
      <a:accent5>
        <a:srgbClr val="9BD7EF"/>
      </a:accent5>
      <a:accent6>
        <a:srgbClr val="5BADFF"/>
      </a:accent6>
      <a:hlink>
        <a:srgbClr val="71C5E8"/>
      </a:hlink>
      <a:folHlink>
        <a:srgbClr val="005EB8"/>
      </a:folHlink>
    </a:clrScheme>
    <a:fontScheme name="Cromwell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rporate theme" id="{1D2AAEB0-6B94-4987-A3AD-97692CDDF68B}" vid="{7FAB01BC-0827-4698-8E62-39CE6FC8F1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501C-0CCC-4FFC-A5DE-DD53B55C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Cromwell Direct Property Fund – Summary of Information</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Direct Property Fund – Summary of Information</dc:title>
  <dc:subject/>
  <dc:creator>Sian Sheppard</dc:creator>
  <cp:keywords/>
  <dc:description/>
  <cp:lastModifiedBy>Rebecca Quade</cp:lastModifiedBy>
  <cp:revision>2</cp:revision>
  <cp:lastPrinted>2020-07-14T01:00:00Z</cp:lastPrinted>
  <dcterms:created xsi:type="dcterms:W3CDTF">2024-04-30T05:26:00Z</dcterms:created>
  <dcterms:modified xsi:type="dcterms:W3CDTF">2024-04-30T05:26:00Z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EDMS# 12104866.1</vt:lpwstr>
  </property>
  <property fmtid="{D5CDD505-2E9C-101B-9397-08002B2CF9AE}" pid="3" name="MSIP_Label_cdb59bb0-0259-4555-a40c-8e585c0603f7_Enabled">
    <vt:lpwstr>true</vt:lpwstr>
  </property>
  <property fmtid="{D5CDD505-2E9C-101B-9397-08002B2CF9AE}" pid="4" name="MSIP_Label_cdb59bb0-0259-4555-a40c-8e585c0603f7_SetDate">
    <vt:lpwstr>2024-04-15T02:00:39Z</vt:lpwstr>
  </property>
  <property fmtid="{D5CDD505-2E9C-101B-9397-08002B2CF9AE}" pid="5" name="MSIP_Label_cdb59bb0-0259-4555-a40c-8e585c0603f7_Method">
    <vt:lpwstr>Standard</vt:lpwstr>
  </property>
  <property fmtid="{D5CDD505-2E9C-101B-9397-08002B2CF9AE}" pid="6" name="MSIP_Label_cdb59bb0-0259-4555-a40c-8e585c0603f7_Name">
    <vt:lpwstr>1 - Cromwell private</vt:lpwstr>
  </property>
  <property fmtid="{D5CDD505-2E9C-101B-9397-08002B2CF9AE}" pid="7" name="MSIP_Label_cdb59bb0-0259-4555-a40c-8e585c0603f7_SiteId">
    <vt:lpwstr>17329a0b-cf56-4ec9-a849-de4f5206055e</vt:lpwstr>
  </property>
  <property fmtid="{D5CDD505-2E9C-101B-9397-08002B2CF9AE}" pid="8" name="MSIP_Label_cdb59bb0-0259-4555-a40c-8e585c0603f7_ActionId">
    <vt:lpwstr>8e9f1286-ebdc-4e67-8007-c1bfb3c4c1b0</vt:lpwstr>
  </property>
  <property fmtid="{D5CDD505-2E9C-101B-9397-08002B2CF9AE}" pid="9" name="MSIP_Label_cdb59bb0-0259-4555-a40c-8e585c0603f7_ContentBits">
    <vt:lpwstr>0</vt:lpwstr>
  </property>
</Properties>
</file>