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2768"/>
        <w:gridCol w:w="6848"/>
      </w:tblGrid>
      <w:tr w:rsidR="00053E34" w14:paraId="4A70D1A0" w14:textId="77777777" w:rsidTr="00953281">
        <w:tc>
          <w:tcPr>
            <w:tcW w:w="2768" w:type="dxa"/>
            <w:tcBorders>
              <w:bottom w:val="dotted" w:sz="12" w:space="0" w:color="7F7F7F" w:themeColor="text1" w:themeTint="80"/>
              <w:right w:val="dotted" w:sz="12" w:space="0" w:color="7F7F7F" w:themeColor="text1" w:themeTint="80"/>
            </w:tcBorders>
            <w:vAlign w:val="center"/>
          </w:tcPr>
          <w:p w14:paraId="73F034B8" w14:textId="7E3E842C" w:rsidR="00953281" w:rsidRPr="00133CAE" w:rsidRDefault="00BF6500" w:rsidP="00953281">
            <w:pPr>
              <w:pStyle w:val="NoSpacing"/>
              <w:spacing w:after="120"/>
              <w:rPr>
                <w:rFonts w:ascii="Arial" w:eastAsiaTheme="majorEastAsia" w:hAnsi="Arial" w:cs="Arial"/>
                <w:color w:val="404040" w:themeColor="text1" w:themeTint="BF"/>
                <w:szCs w:val="36"/>
              </w:rPr>
            </w:pPr>
            <w:r w:rsidRPr="00F85129">
              <w:rPr>
                <w:rFonts w:ascii="Arial" w:eastAsiaTheme="majorEastAsia" w:hAnsi="Arial" w:cs="Arial"/>
                <w:color w:val="404040" w:themeColor="text1" w:themeTint="BF"/>
                <w:szCs w:val="36"/>
              </w:rPr>
              <w:t>10</w:t>
            </w:r>
            <w:r w:rsidR="008407F3" w:rsidRPr="00F85129">
              <w:rPr>
                <w:rFonts w:ascii="Arial" w:eastAsiaTheme="majorEastAsia" w:hAnsi="Arial" w:cs="Arial"/>
                <w:color w:val="404040" w:themeColor="text1" w:themeTint="BF"/>
                <w:szCs w:val="36"/>
              </w:rPr>
              <w:t xml:space="preserve"> </w:t>
            </w:r>
            <w:r w:rsidR="00FD18B5">
              <w:rPr>
                <w:rFonts w:ascii="Arial" w:eastAsiaTheme="majorEastAsia" w:hAnsi="Arial" w:cs="Arial"/>
                <w:color w:val="404040" w:themeColor="text1" w:themeTint="BF"/>
                <w:szCs w:val="36"/>
              </w:rPr>
              <w:t>November</w:t>
            </w:r>
            <w:r w:rsidR="005613C3" w:rsidRPr="00F85129">
              <w:rPr>
                <w:rFonts w:ascii="Arial" w:eastAsiaTheme="majorEastAsia" w:hAnsi="Arial" w:cs="Arial"/>
                <w:color w:val="404040" w:themeColor="text1" w:themeTint="BF"/>
                <w:szCs w:val="36"/>
              </w:rPr>
              <w:t xml:space="preserve"> 2016</w:t>
            </w:r>
          </w:p>
          <w:p w14:paraId="61237A1E" w14:textId="77777777"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14:paraId="2910B3BB" w14:textId="77777777" w:rsidR="00953281" w:rsidRPr="00133CAE" w:rsidRDefault="00D53F88" w:rsidP="00953281">
            <w:pPr>
              <w:pStyle w:val="NoSpacing"/>
              <w:rPr>
                <w:rFonts w:ascii="Tahoma" w:hAnsi="Tahoma" w:cs="Tahoma"/>
                <w:b/>
                <w:bCs/>
                <w:color w:val="365F91"/>
                <w:spacing w:val="-4"/>
                <w:sz w:val="52"/>
                <w:szCs w:val="28"/>
                <w:lang w:val="en-AU" w:eastAsia="en-AU"/>
              </w:rPr>
            </w:pPr>
            <w:r>
              <w:rPr>
                <w:rFonts w:ascii="Tahoma" w:hAnsi="Tahoma" w:cs="Tahoma"/>
                <w:b/>
                <w:bCs/>
                <w:color w:val="365F91"/>
                <w:spacing w:val="-4"/>
                <w:sz w:val="52"/>
                <w:szCs w:val="28"/>
                <w:lang w:val="en-AU" w:eastAsia="en-AU"/>
              </w:rPr>
              <w:t xml:space="preserve">ASIC Benchmark and </w:t>
            </w:r>
            <w:r w:rsidR="00953281" w:rsidRPr="00133CAE">
              <w:rPr>
                <w:rFonts w:ascii="Tahoma" w:hAnsi="Tahoma" w:cs="Tahoma"/>
                <w:b/>
                <w:bCs/>
                <w:color w:val="365F91"/>
                <w:spacing w:val="-4"/>
                <w:sz w:val="52"/>
                <w:szCs w:val="28"/>
                <w:lang w:val="en-AU" w:eastAsia="en-AU"/>
              </w:rPr>
              <w:t xml:space="preserve">Disclosure </w:t>
            </w:r>
            <w:r>
              <w:rPr>
                <w:rFonts w:ascii="Tahoma" w:hAnsi="Tahoma" w:cs="Tahoma"/>
                <w:b/>
                <w:bCs/>
                <w:color w:val="365F91"/>
                <w:spacing w:val="-4"/>
                <w:sz w:val="52"/>
                <w:szCs w:val="28"/>
                <w:lang w:val="en-AU" w:eastAsia="en-AU"/>
              </w:rPr>
              <w:t xml:space="preserve">Principles </w:t>
            </w:r>
          </w:p>
          <w:p w14:paraId="00CBD6D1" w14:textId="77777777" w:rsidR="00953281" w:rsidRPr="00953281" w:rsidRDefault="00953281" w:rsidP="00953281">
            <w:pPr>
              <w:pStyle w:val="NoSpacing"/>
              <w:rPr>
                <w:rFonts w:ascii="Tahoma" w:hAnsi="Tahoma" w:cs="Tahoma"/>
                <w:b/>
                <w:bCs/>
                <w:color w:val="008A5E"/>
                <w:spacing w:val="-4"/>
                <w:sz w:val="28"/>
                <w:szCs w:val="28"/>
                <w:lang w:val="en-AU" w:eastAsia="en-AU"/>
              </w:rPr>
            </w:pPr>
          </w:p>
          <w:p w14:paraId="26FCC726" w14:textId="77777777"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14:paraId="552A4DD5" w14:textId="77777777" w:rsidTr="00953281">
        <w:tc>
          <w:tcPr>
            <w:tcW w:w="9616" w:type="dxa"/>
            <w:gridSpan w:val="2"/>
            <w:tcBorders>
              <w:top w:val="dotted" w:sz="12" w:space="0" w:color="7F7F7F" w:themeColor="text1" w:themeTint="80"/>
            </w:tcBorders>
            <w:vAlign w:val="center"/>
          </w:tcPr>
          <w:p w14:paraId="6526BDC7" w14:textId="77777777" w:rsidR="00953281" w:rsidRPr="00053E34" w:rsidRDefault="00953281" w:rsidP="00C62B3C">
            <w:pPr>
              <w:pStyle w:val="CMWFootnote"/>
              <w:jc w:val="both"/>
              <w:rPr>
                <w:b/>
                <w:sz w:val="18"/>
              </w:rPr>
            </w:pPr>
            <w:r w:rsidRPr="00053E34">
              <w:rPr>
                <w:b/>
                <w:sz w:val="18"/>
              </w:rPr>
              <w:t>Important Notice and Disclaimer</w:t>
            </w:r>
          </w:p>
          <w:p w14:paraId="1A4B6AF0" w14:textId="7F71283C" w:rsidR="00953281" w:rsidRPr="00990EB6" w:rsidRDefault="00953281" w:rsidP="00C62B3C">
            <w:pPr>
              <w:pStyle w:val="CMWFootnote"/>
              <w:jc w:val="both"/>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Cromwell Funds Management Limited ABN 63 114 782 777, AFSL 333214 (“</w:t>
            </w:r>
            <w:r w:rsidR="00CF4156">
              <w:t>CFM</w:t>
            </w:r>
            <w:r w:rsidRPr="00990EB6">
              <w:t xml:space="preserve">”) is the issuer of this </w:t>
            </w:r>
            <w:r w:rsidR="005613C3">
              <w:t xml:space="preserve">ASIC Benchmark and </w:t>
            </w:r>
            <w:r w:rsidR="005E31F6" w:rsidRPr="005613C3">
              <w:t>Disclosure</w:t>
            </w:r>
            <w:r w:rsidR="005613C3">
              <w:t xml:space="preserve"> Principles</w:t>
            </w:r>
            <w:r w:rsidR="005E31F6" w:rsidRPr="005613C3">
              <w:t xml:space="preserve"> </w:t>
            </w:r>
            <w:r w:rsidR="005613C3">
              <w:t>g</w:t>
            </w:r>
            <w:r w:rsidR="005E31F6" w:rsidRPr="005613C3">
              <w:t>uide (“Guide”)</w:t>
            </w:r>
            <w:r w:rsidR="005E31F6" w:rsidRPr="00990EB6">
              <w:t xml:space="preserve"> </w:t>
            </w:r>
            <w:r w:rsidRPr="00990EB6">
              <w:t xml:space="preserve">which should be read in conjunction with the attached Product Disclosure Statement for the Trust dated </w:t>
            </w:r>
            <w:r w:rsidR="00095F34">
              <w:t>29 October 201</w:t>
            </w:r>
            <w:r w:rsidR="005779C1">
              <w:t>3</w:t>
            </w:r>
            <w:r w:rsidR="00095F34">
              <w:t xml:space="preserve"> </w:t>
            </w:r>
            <w:r w:rsidRPr="00990EB6">
              <w:t xml:space="preserve">(“PDS”). As at the date of this </w:t>
            </w:r>
            <w:r w:rsidR="005E31F6">
              <w:t>Guide</w:t>
            </w:r>
            <w:r w:rsidRPr="00990EB6">
              <w:t xml:space="preserve">, the Trust is closed to new investments. The Trust has a 7 year term during which </w:t>
            </w:r>
            <w:r w:rsidR="00053636">
              <w:t>unitholders</w:t>
            </w:r>
            <w:r w:rsidR="00053636" w:rsidRPr="00990EB6">
              <w:t xml:space="preserve"> </w:t>
            </w:r>
            <w:r w:rsidRPr="00990EB6">
              <w:t>have no right to withdraw.</w:t>
            </w:r>
          </w:p>
          <w:p w14:paraId="5A524563" w14:textId="77777777" w:rsidR="00953281" w:rsidRPr="00990EB6" w:rsidRDefault="00953281" w:rsidP="00C62B3C">
            <w:pPr>
              <w:pStyle w:val="CMWFootnote"/>
              <w:jc w:val="both"/>
            </w:pPr>
            <w:r w:rsidRPr="00990EB6">
              <w:t xml:space="preserve">Updates on the Trust are available at </w:t>
            </w:r>
            <w:hyperlink r:id="rId7" w:history="1">
              <w:r w:rsidR="005E31F6" w:rsidRPr="00763E41">
                <w:rPr>
                  <w:rStyle w:val="Hyperlink"/>
                </w:rPr>
                <w:t>www.cromwell.com.au/C12</w:t>
              </w:r>
            </w:hyperlink>
            <w:r w:rsidR="005E31F6">
              <w:t xml:space="preserve">. </w:t>
            </w:r>
          </w:p>
          <w:p w14:paraId="213CDCC1" w14:textId="77777777" w:rsidR="00953281" w:rsidRDefault="00953281" w:rsidP="00C62B3C">
            <w:pPr>
              <w:pStyle w:val="CMWFootnote"/>
              <w:jc w:val="both"/>
            </w:pPr>
            <w:r w:rsidRPr="00990EB6">
              <w:t xml:space="preserve">The information in this </w:t>
            </w:r>
            <w:r w:rsidR="006573CD" w:rsidRPr="005613C3">
              <w:t>Guide</w:t>
            </w:r>
            <w:r w:rsidR="006573CD">
              <w:t xml:space="preserve"> </w:t>
            </w:r>
            <w:r w:rsidRPr="00990EB6">
              <w:t xml:space="preserve">is general information only and does not take into account your objectives, financial situation or needs. Therefore, </w:t>
            </w:r>
            <w:r w:rsidR="005E31F6">
              <w:t>before</w:t>
            </w:r>
            <w:r w:rsidR="005E31F6" w:rsidRPr="00990EB6">
              <w:t xml:space="preserve"> </w:t>
            </w:r>
            <w:r w:rsidRPr="00990EB6">
              <w:t xml:space="preserve">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14:paraId="36EDA045" w14:textId="77777777" w:rsidR="00953281" w:rsidRDefault="00953281">
            <w:pPr>
              <w:pStyle w:val="NoSpacing"/>
              <w:rPr>
                <w:rFonts w:asciiTheme="majorHAnsi" w:eastAsiaTheme="majorEastAsia" w:hAnsiTheme="majorHAnsi" w:cstheme="majorBidi"/>
                <w:sz w:val="36"/>
                <w:szCs w:val="36"/>
              </w:rPr>
            </w:pPr>
          </w:p>
        </w:tc>
      </w:tr>
    </w:tbl>
    <w:p w14:paraId="52F8CB41" w14:textId="77777777"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14:anchorId="606C4F4A" wp14:editId="362ABC73">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8" cstate="print"/>
                    <a:stretch>
                      <a:fillRect/>
                    </a:stretch>
                  </pic:blipFill>
                  <pic:spPr>
                    <a:xfrm>
                      <a:off x="0" y="0"/>
                      <a:ext cx="1829268" cy="609756"/>
                    </a:xfrm>
                    <a:prstGeom prst="rect">
                      <a:avLst/>
                    </a:prstGeom>
                  </pic:spPr>
                </pic:pic>
              </a:graphicData>
            </a:graphic>
          </wp:inline>
        </w:drawing>
      </w:r>
    </w:p>
    <w:p w14:paraId="2D9A6584" w14:textId="77777777" w:rsidR="00053E34" w:rsidRDefault="00053E34">
      <w:pPr>
        <w:spacing w:after="200" w:line="276" w:lineRule="auto"/>
        <w:rPr>
          <w:rFonts w:ascii="Tahoma" w:hAnsi="Tahoma" w:cs="Tahoma"/>
          <w:b/>
          <w:bCs/>
          <w:color w:val="365F91"/>
          <w:spacing w:val="-4"/>
          <w:sz w:val="28"/>
          <w:szCs w:val="28"/>
          <w:lang w:eastAsia="en-AU"/>
        </w:rPr>
      </w:pPr>
      <w:r>
        <w:br w:type="page"/>
      </w:r>
    </w:p>
    <w:p w14:paraId="173537D2" w14:textId="77777777" w:rsidR="008900A0" w:rsidRPr="008900A0" w:rsidRDefault="008900A0" w:rsidP="00A809A9">
      <w:pPr>
        <w:pStyle w:val="CMWHeading1"/>
        <w:rPr>
          <w:rFonts w:cs="DIN-Regular"/>
          <w:szCs w:val="20"/>
        </w:rPr>
      </w:pPr>
      <w:r w:rsidRPr="008900A0">
        <w:lastRenderedPageBreak/>
        <w:t>Scope of this Disclosure Guide</w:t>
      </w:r>
    </w:p>
    <w:p w14:paraId="6FAB35F9" w14:textId="77777777"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 xml:space="preserve">RG 46 sets out particular </w:t>
      </w:r>
      <w:r w:rsidR="00F7038B">
        <w:rPr>
          <w:rFonts w:cs="DIN-Regular"/>
          <w:szCs w:val="20"/>
        </w:rPr>
        <w:t xml:space="preserve">benchmarks and </w:t>
      </w:r>
      <w:r w:rsidRPr="00A24850">
        <w:rPr>
          <w:rFonts w:cs="DIN-Regular"/>
          <w:szCs w:val="20"/>
        </w:rPr>
        <w:t>disclosure</w:t>
      </w:r>
      <w:r>
        <w:rPr>
          <w:rFonts w:cs="DIN-Regular"/>
          <w:szCs w:val="20"/>
        </w:rPr>
        <w:t xml:space="preserve"> </w:t>
      </w:r>
      <w:r w:rsidRPr="00A24850">
        <w:rPr>
          <w:rFonts w:cs="DIN-Regular"/>
          <w:szCs w:val="20"/>
        </w:rPr>
        <w:t xml:space="preserve">principles </w:t>
      </w:r>
      <w:r w:rsidR="00647C62">
        <w:rPr>
          <w:rFonts w:cs="DIN-Regular"/>
          <w:szCs w:val="20"/>
        </w:rPr>
        <w:t>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14:paraId="164284A0" w14:textId="77777777"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 xml:space="preserve">this </w:t>
      </w:r>
      <w:r w:rsidRPr="005613C3">
        <w:rPr>
          <w:rFonts w:cs="DIN-Regular"/>
          <w:szCs w:val="20"/>
        </w:rPr>
        <w:t>Guide</w:t>
      </w:r>
      <w:r w:rsidRPr="00A24850">
        <w:rPr>
          <w:rFonts w:cs="DIN-Regular"/>
          <w:szCs w:val="20"/>
        </w:rPr>
        <w:t xml:space="preserve"> and</w:t>
      </w:r>
      <w:r w:rsidR="00633156">
        <w:rPr>
          <w:rFonts w:cs="DIN-Regular"/>
          <w:szCs w:val="20"/>
        </w:rPr>
        <w:t xml:space="preserve">, if applicable, </w:t>
      </w:r>
      <w:r w:rsidRPr="00A24850">
        <w:rPr>
          <w:rFonts w:cs="DIN-Regular"/>
          <w:szCs w:val="20"/>
        </w:rPr>
        <w:t>the attached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3205"/>
        <w:gridCol w:w="1701"/>
        <w:gridCol w:w="3969"/>
      </w:tblGrid>
      <w:tr w:rsidR="0081479B" w:rsidRPr="00054598" w14:paraId="16F5280F" w14:textId="77777777" w:rsidTr="00385742">
        <w:tc>
          <w:tcPr>
            <w:tcW w:w="305" w:type="dxa"/>
            <w:vAlign w:val="center"/>
          </w:tcPr>
          <w:p w14:paraId="10E6A8A6" w14:textId="77777777"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14:paraId="7BE09675"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14:paraId="71F90282"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14:paraId="78E226BD" w14:textId="77777777"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14:paraId="429D9BFD" w14:textId="77777777" w:rsidTr="00385742">
        <w:trPr>
          <w:trHeight w:val="217"/>
        </w:trPr>
        <w:tc>
          <w:tcPr>
            <w:tcW w:w="305" w:type="dxa"/>
          </w:tcPr>
          <w:p w14:paraId="560E839E"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14:paraId="05DC18C6"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14:paraId="67AF0545"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14:paraId="406A21C0"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14:paraId="4AB4B98C" w14:textId="77777777" w:rsidTr="00385742">
        <w:tc>
          <w:tcPr>
            <w:tcW w:w="305" w:type="dxa"/>
          </w:tcPr>
          <w:p w14:paraId="33761F90"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14:paraId="55A5AB4E"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14:paraId="4FA9C0ED"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14:paraId="3E5B2C06"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14:paraId="7BF911B8" w14:textId="77777777" w:rsidTr="00385742">
        <w:tc>
          <w:tcPr>
            <w:tcW w:w="305" w:type="dxa"/>
          </w:tcPr>
          <w:p w14:paraId="123F01C2"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14:paraId="16333769"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14:paraId="45E17902"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14:paraId="75EC0E9A" w14:textId="77777777"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14:paraId="4183D642" w14:textId="77777777" w:rsidTr="00385742">
        <w:tc>
          <w:tcPr>
            <w:tcW w:w="305" w:type="dxa"/>
          </w:tcPr>
          <w:p w14:paraId="1D29AFB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14:paraId="6346BA4C" w14:textId="77777777"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14:paraId="2B65E601"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14:paraId="7F357985"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14:paraId="240B835D" w14:textId="77777777" w:rsidTr="00385742">
        <w:tc>
          <w:tcPr>
            <w:tcW w:w="305" w:type="dxa"/>
          </w:tcPr>
          <w:p w14:paraId="79BF6E0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14:paraId="3FECEA65" w14:textId="77777777"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14:paraId="7EE8F53C"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14:paraId="4A15091D" w14:textId="77777777"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r w:rsidR="007B5434">
              <w:rPr>
                <w:rFonts w:eastAsiaTheme="minorHAnsi"/>
                <w:color w:val="404040" w:themeColor="text1" w:themeTint="BF"/>
                <w:sz w:val="16"/>
                <w:szCs w:val="16"/>
              </w:rPr>
              <w:t>4</w:t>
            </w:r>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14:paraId="6ACDC9FC" w14:textId="77777777" w:rsidTr="00385742">
        <w:tc>
          <w:tcPr>
            <w:tcW w:w="305" w:type="dxa"/>
          </w:tcPr>
          <w:p w14:paraId="68BB5ADA"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14:paraId="769955C0"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14:paraId="737BB0EA" w14:textId="77777777"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14:paraId="6B3EFF1C" w14:textId="77777777"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14:paraId="4958D690" w14:textId="77777777" w:rsidTr="00385742">
        <w:tc>
          <w:tcPr>
            <w:tcW w:w="305" w:type="dxa"/>
          </w:tcPr>
          <w:p w14:paraId="73CAA947"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14:paraId="40CCF5D0"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14:paraId="11FF117E" w14:textId="77777777"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14:paraId="014EDBF4" w14:textId="77777777"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14:paraId="17016480" w14:textId="77777777" w:rsidTr="00385742">
        <w:tc>
          <w:tcPr>
            <w:tcW w:w="305" w:type="dxa"/>
          </w:tcPr>
          <w:p w14:paraId="702C319F" w14:textId="77777777"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14:paraId="6A7887DC" w14:textId="77777777"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14:paraId="2D0100BA" w14:textId="77777777"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14:paraId="1A85B870" w14:textId="77777777"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r w:rsidR="007B5434">
              <w:rPr>
                <w:rFonts w:eastAsiaTheme="minorHAnsi"/>
                <w:color w:val="404040" w:themeColor="text1" w:themeTint="BF"/>
                <w:sz w:val="16"/>
                <w:szCs w:val="16"/>
              </w:rPr>
              <w:t>7</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14:paraId="2B7944BD" w14:textId="77777777"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5190"/>
        <w:gridCol w:w="1701"/>
        <w:gridCol w:w="2046"/>
      </w:tblGrid>
      <w:tr w:rsidR="00E45BE3" w:rsidRPr="00054598" w14:paraId="00D6E1E5" w14:textId="77777777" w:rsidTr="00A8413F">
        <w:tc>
          <w:tcPr>
            <w:tcW w:w="305" w:type="dxa"/>
            <w:vAlign w:val="center"/>
          </w:tcPr>
          <w:p w14:paraId="664ED003" w14:textId="77777777"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14:paraId="788EFC9F"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14:paraId="207E516E"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14:paraId="2906B191" w14:textId="77777777"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14:paraId="11A1FDEF" w14:textId="77777777" w:rsidTr="001962A7">
        <w:trPr>
          <w:trHeight w:val="217"/>
        </w:trPr>
        <w:tc>
          <w:tcPr>
            <w:tcW w:w="305" w:type="dxa"/>
          </w:tcPr>
          <w:p w14:paraId="4EA4B5FA"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14:paraId="1FE622F9" w14:textId="77777777" w:rsidR="00E45BE3" w:rsidRPr="00953281" w:rsidRDefault="00BE0C5B"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Policy </w:t>
            </w:r>
            <w:r w:rsidR="009D7A7B">
              <w:rPr>
                <w:rFonts w:eastAsiaTheme="minorHAnsi"/>
                <w:color w:val="404040" w:themeColor="text1" w:themeTint="BF"/>
                <w:sz w:val="16"/>
                <w:szCs w:val="16"/>
              </w:rPr>
              <w:t>–</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w:t>
            </w:r>
            <w:r w:rsidR="009D7A7B">
              <w:rPr>
                <w:rFonts w:eastAsiaTheme="minorHAnsi"/>
                <w:color w:val="404040" w:themeColor="text1" w:themeTint="BF"/>
                <w:sz w:val="16"/>
                <w:szCs w:val="16"/>
              </w:rPr>
              <w:t xml:space="preserve"> </w:t>
            </w:r>
            <w:r w:rsidR="00836264">
              <w:rPr>
                <w:rFonts w:eastAsiaTheme="minorHAnsi"/>
                <w:color w:val="404040" w:themeColor="text1" w:themeTint="BF"/>
                <w:sz w:val="16"/>
                <w:szCs w:val="16"/>
              </w:rPr>
              <w:t>Trust meets the benchmark. The Trust maintains and complies with a written policy that governs the level of gearing for the Trust.</w:t>
            </w:r>
          </w:p>
        </w:tc>
        <w:tc>
          <w:tcPr>
            <w:tcW w:w="1701" w:type="dxa"/>
          </w:tcPr>
          <w:p w14:paraId="5AD85FA8"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14:paraId="39DA8886" w14:textId="77777777"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p>
          <w:p w14:paraId="0FB44404" w14:textId="77777777"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14:paraId="6DCE794F" w14:textId="77777777" w:rsidTr="001962A7">
        <w:tc>
          <w:tcPr>
            <w:tcW w:w="305" w:type="dxa"/>
          </w:tcPr>
          <w:p w14:paraId="0E97814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14:paraId="6548721D"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14:paraId="274EA824"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14:paraId="0F952C3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w:t>
            </w:r>
            <w:r w:rsidR="007B5434">
              <w:rPr>
                <w:rFonts w:eastAsiaTheme="minorHAnsi"/>
                <w:color w:val="404040" w:themeColor="text1" w:themeTint="BF"/>
                <w:sz w:val="16"/>
                <w:szCs w:val="16"/>
              </w:rPr>
              <w:t>1</w:t>
            </w:r>
          </w:p>
          <w:p w14:paraId="68CF2515"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14:paraId="68C50B0E" w14:textId="77777777" w:rsidTr="001962A7">
        <w:tc>
          <w:tcPr>
            <w:tcW w:w="305" w:type="dxa"/>
          </w:tcPr>
          <w:p w14:paraId="2510AE02"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14:paraId="0BF04232" w14:textId="77777777" w:rsidR="00BF5077" w:rsidRPr="00953281" w:rsidRDefault="00BF5077">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 xml:space="preserve">The Trust meets the benchmark. The interest expense of the </w:t>
            </w:r>
            <w:r w:rsidR="00BB0271">
              <w:rPr>
                <w:rFonts w:eastAsiaTheme="minorHAnsi"/>
                <w:color w:val="404040" w:themeColor="text1" w:themeTint="BF"/>
                <w:sz w:val="16"/>
                <w:szCs w:val="16"/>
              </w:rPr>
              <w:t xml:space="preserve">Trust </w:t>
            </w:r>
            <w:r w:rsidR="00836264">
              <w:rPr>
                <w:rFonts w:eastAsiaTheme="minorHAnsi"/>
                <w:color w:val="404040" w:themeColor="text1" w:themeTint="BF"/>
                <w:sz w:val="16"/>
                <w:szCs w:val="16"/>
              </w:rPr>
              <w:t xml:space="preserve">is not capitalised. However, for the purposes of the forecast distribution statement, interest costs during the Construction Period </w:t>
            </w:r>
            <w:r w:rsidR="00647481">
              <w:rPr>
                <w:rFonts w:eastAsiaTheme="minorHAnsi"/>
                <w:color w:val="404040" w:themeColor="text1" w:themeTint="BF"/>
                <w:sz w:val="16"/>
                <w:szCs w:val="16"/>
              </w:rPr>
              <w:t>were</w:t>
            </w:r>
            <w:r w:rsidR="00836264">
              <w:rPr>
                <w:rFonts w:eastAsiaTheme="minorHAnsi"/>
                <w:color w:val="404040" w:themeColor="text1" w:themeTint="BF"/>
                <w:sz w:val="16"/>
                <w:szCs w:val="16"/>
              </w:rPr>
              <w:t xml:space="preserve"> capitalised against the cost of the Property under accounting standards.</w:t>
            </w:r>
          </w:p>
        </w:tc>
        <w:tc>
          <w:tcPr>
            <w:tcW w:w="1701" w:type="dxa"/>
          </w:tcPr>
          <w:p w14:paraId="1B2825DF"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14:paraId="6E41AE35" w14:textId="77777777"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.2 and 6.3.2</w:t>
            </w:r>
          </w:p>
        </w:tc>
      </w:tr>
      <w:tr w:rsidR="00BF5077" w:rsidRPr="00953281" w14:paraId="7BFC5AC7" w14:textId="77777777" w:rsidTr="001962A7">
        <w:tc>
          <w:tcPr>
            <w:tcW w:w="305" w:type="dxa"/>
          </w:tcPr>
          <w:p w14:paraId="6A461630"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14:paraId="1DCE242E"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14:paraId="084EAC0A"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14:paraId="4D2ABF5E" w14:textId="77777777"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r w:rsidR="007B5434">
              <w:rPr>
                <w:rFonts w:eastAsiaTheme="minorHAnsi"/>
                <w:color w:val="404040" w:themeColor="text1" w:themeTint="BF"/>
                <w:sz w:val="16"/>
                <w:szCs w:val="16"/>
              </w:rPr>
              <w:t>6</w:t>
            </w:r>
            <w:r>
              <w:rPr>
                <w:rFonts w:eastAsiaTheme="minorHAnsi"/>
                <w:color w:val="404040" w:themeColor="text1" w:themeTint="BF"/>
                <w:sz w:val="16"/>
                <w:szCs w:val="16"/>
              </w:rPr>
              <w:t xml:space="preserve"> and 4.2.4</w:t>
            </w:r>
          </w:p>
        </w:tc>
      </w:tr>
      <w:tr w:rsidR="00BF5077" w:rsidRPr="00953281" w14:paraId="080063FB" w14:textId="77777777" w:rsidTr="001962A7">
        <w:tc>
          <w:tcPr>
            <w:tcW w:w="305" w:type="dxa"/>
          </w:tcPr>
          <w:p w14:paraId="1B337822"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14:paraId="2094834D" w14:textId="77777777"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14:paraId="7C7DD75E"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14:paraId="02BC2C69" w14:textId="77777777"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14:paraId="4A339307" w14:textId="77777777" w:rsidTr="001962A7">
        <w:tc>
          <w:tcPr>
            <w:tcW w:w="305" w:type="dxa"/>
          </w:tcPr>
          <w:p w14:paraId="120851A1"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14:paraId="643055DC" w14:textId="77777777"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w:t>
            </w:r>
            <w:r w:rsidR="00131AE8">
              <w:rPr>
                <w:rFonts w:eastAsiaTheme="minorHAnsi"/>
                <w:color w:val="404040" w:themeColor="text1" w:themeTint="BF"/>
                <w:sz w:val="16"/>
                <w:szCs w:val="16"/>
              </w:rPr>
              <w:t>does</w:t>
            </w:r>
            <w:r w:rsidR="00484FB3">
              <w:rPr>
                <w:rFonts w:eastAsiaTheme="minorHAnsi"/>
                <w:color w:val="404040" w:themeColor="text1" w:themeTint="BF"/>
                <w:sz w:val="16"/>
                <w:szCs w:val="16"/>
              </w:rPr>
              <w:t xml:space="preserve"> </w:t>
            </w:r>
            <w:r w:rsidR="00836264">
              <w:rPr>
                <w:rFonts w:eastAsiaTheme="minorHAnsi"/>
                <w:color w:val="404040" w:themeColor="text1" w:themeTint="BF"/>
                <w:sz w:val="16"/>
                <w:szCs w:val="16"/>
              </w:rPr>
              <w:t xml:space="preserve">not meet </w:t>
            </w:r>
            <w:r w:rsidR="007A6137">
              <w:rPr>
                <w:rFonts w:eastAsiaTheme="minorHAnsi"/>
                <w:color w:val="404040" w:themeColor="text1" w:themeTint="BF"/>
                <w:sz w:val="16"/>
                <w:szCs w:val="16"/>
              </w:rPr>
              <w:t>the benchmark.</w:t>
            </w:r>
          </w:p>
          <w:p w14:paraId="2D5AB559" w14:textId="77777777" w:rsidR="00131AE8" w:rsidRDefault="00131AE8" w:rsidP="00484FB3">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Distributions </w:t>
            </w:r>
            <w:r w:rsidR="00677BC3">
              <w:rPr>
                <w:rFonts w:eastAsiaTheme="minorHAnsi"/>
                <w:color w:val="404040" w:themeColor="text1" w:themeTint="BF"/>
                <w:sz w:val="16"/>
                <w:szCs w:val="16"/>
              </w:rPr>
              <w:t xml:space="preserve">are currently </w:t>
            </w:r>
            <w:r>
              <w:rPr>
                <w:rFonts w:eastAsiaTheme="minorHAnsi"/>
                <w:color w:val="404040" w:themeColor="text1" w:themeTint="BF"/>
                <w:sz w:val="16"/>
                <w:szCs w:val="16"/>
              </w:rPr>
              <w:t>funded by both cash from operations</w:t>
            </w:r>
            <w:r w:rsidR="00677BC3">
              <w:rPr>
                <w:rFonts w:eastAsiaTheme="minorHAnsi"/>
                <w:color w:val="404040" w:themeColor="text1" w:themeTint="BF"/>
                <w:sz w:val="16"/>
                <w:szCs w:val="16"/>
              </w:rPr>
              <w:t xml:space="preserve"> and </w:t>
            </w:r>
            <w:r>
              <w:rPr>
                <w:rFonts w:eastAsiaTheme="minorHAnsi"/>
                <w:color w:val="404040" w:themeColor="text1" w:themeTint="BF"/>
                <w:sz w:val="16"/>
                <w:szCs w:val="16"/>
              </w:rPr>
              <w:t>realised capital gains from</w:t>
            </w:r>
            <w:r w:rsidR="00677BC3">
              <w:rPr>
                <w:rFonts w:eastAsiaTheme="minorHAnsi"/>
                <w:color w:val="404040" w:themeColor="text1" w:themeTint="BF"/>
                <w:sz w:val="16"/>
                <w:szCs w:val="16"/>
              </w:rPr>
              <w:t xml:space="preserve"> the sale of</w:t>
            </w:r>
            <w:r>
              <w:rPr>
                <w:rFonts w:eastAsiaTheme="minorHAnsi"/>
                <w:color w:val="404040" w:themeColor="text1" w:themeTint="BF"/>
                <w:sz w:val="16"/>
                <w:szCs w:val="16"/>
              </w:rPr>
              <w:t xml:space="preserve"> Dorcas Street, South Melbourne.</w:t>
            </w:r>
          </w:p>
          <w:p w14:paraId="0BEBE004" w14:textId="77777777" w:rsidR="00131AE8" w:rsidRDefault="007A6137">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The risks involved </w:t>
            </w:r>
            <w:r w:rsidR="00677BC3">
              <w:rPr>
                <w:rFonts w:eastAsiaTheme="minorHAnsi"/>
                <w:color w:val="404040" w:themeColor="text1" w:themeTint="BF"/>
                <w:sz w:val="16"/>
                <w:szCs w:val="16"/>
              </w:rPr>
              <w:t xml:space="preserve">on </w:t>
            </w:r>
            <w:r>
              <w:rPr>
                <w:rFonts w:eastAsiaTheme="minorHAnsi"/>
                <w:color w:val="404040" w:themeColor="text1" w:themeTint="BF"/>
                <w:sz w:val="16"/>
                <w:szCs w:val="16"/>
              </w:rPr>
              <w:t xml:space="preserve">relying on </w:t>
            </w:r>
            <w:r w:rsidR="00677BC3">
              <w:rPr>
                <w:rFonts w:eastAsiaTheme="minorHAnsi"/>
                <w:color w:val="404040" w:themeColor="text1" w:themeTint="BF"/>
                <w:sz w:val="16"/>
                <w:szCs w:val="16"/>
              </w:rPr>
              <w:t>realised gains to p</w:t>
            </w:r>
            <w:r w:rsidR="00F00938">
              <w:rPr>
                <w:rFonts w:eastAsiaTheme="minorHAnsi"/>
                <w:color w:val="404040" w:themeColor="text1" w:themeTint="BF"/>
                <w:sz w:val="16"/>
                <w:szCs w:val="16"/>
              </w:rPr>
              <w:t>artly</w:t>
            </w:r>
            <w:r w:rsidR="00677BC3">
              <w:rPr>
                <w:rFonts w:eastAsiaTheme="minorHAnsi"/>
                <w:color w:val="404040" w:themeColor="text1" w:themeTint="BF"/>
                <w:sz w:val="16"/>
                <w:szCs w:val="16"/>
              </w:rPr>
              <w:t xml:space="preserve"> </w:t>
            </w:r>
            <w:r w:rsidR="00F00938">
              <w:rPr>
                <w:rFonts w:eastAsiaTheme="minorHAnsi"/>
                <w:color w:val="404040" w:themeColor="text1" w:themeTint="BF"/>
                <w:sz w:val="16"/>
                <w:szCs w:val="16"/>
              </w:rPr>
              <w:t>fund</w:t>
            </w:r>
            <w:r w:rsidR="00677BC3">
              <w:rPr>
                <w:rFonts w:eastAsiaTheme="minorHAnsi"/>
                <w:color w:val="404040" w:themeColor="text1" w:themeTint="BF"/>
                <w:sz w:val="16"/>
                <w:szCs w:val="16"/>
              </w:rPr>
              <w:t xml:space="preserve"> distributions are outlined below in section 5</w:t>
            </w:r>
            <w:r w:rsidR="00356B3E">
              <w:rPr>
                <w:rFonts w:eastAsiaTheme="minorHAnsi"/>
                <w:color w:val="404040" w:themeColor="text1" w:themeTint="BF"/>
                <w:sz w:val="16"/>
                <w:szCs w:val="16"/>
              </w:rPr>
              <w:t xml:space="preserve">. </w:t>
            </w:r>
          </w:p>
        </w:tc>
        <w:tc>
          <w:tcPr>
            <w:tcW w:w="1701" w:type="dxa"/>
          </w:tcPr>
          <w:p w14:paraId="72FDB445" w14:textId="77777777"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14:paraId="09F9AB76" w14:textId="77777777"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4.3</w:t>
            </w:r>
          </w:p>
        </w:tc>
      </w:tr>
    </w:tbl>
    <w:p w14:paraId="379C401F" w14:textId="77777777" w:rsidR="00431AC8" w:rsidRDefault="00431AC8">
      <w:pPr>
        <w:rPr>
          <w:rFonts w:eastAsiaTheme="minorHAnsi"/>
        </w:rPr>
      </w:pPr>
    </w:p>
    <w:p w14:paraId="0054B12B" w14:textId="052AB373" w:rsidR="00BA34DA" w:rsidRDefault="00A809A9" w:rsidP="00C62B3C">
      <w:pPr>
        <w:jc w:val="both"/>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ED59E0">
        <w:rPr>
          <w:rFonts w:eastAsiaTheme="minorHAnsi"/>
        </w:rPr>
        <w:t>30 June 2016</w:t>
      </w:r>
      <w:r w:rsidRPr="00A809A9">
        <w:rPr>
          <w:rFonts w:eastAsiaTheme="minorHAnsi"/>
        </w:rPr>
        <w:t xml:space="preserve"> unless stated otherwise.</w:t>
      </w:r>
    </w:p>
    <w:p w14:paraId="4C1D722C" w14:textId="3321773D" w:rsidR="00A809A9" w:rsidRPr="00A809A9" w:rsidRDefault="00CF4156" w:rsidP="00C62B3C">
      <w:pPr>
        <w:jc w:val="both"/>
        <w:rPr>
          <w:rFonts w:eastAsiaTheme="minorHAnsi"/>
        </w:rPr>
      </w:pPr>
      <w:r>
        <w:rPr>
          <w:rFonts w:eastAsiaTheme="minorHAnsi"/>
        </w:rPr>
        <w:t>CFM</w:t>
      </w:r>
      <w:r w:rsidRPr="00A809A9">
        <w:rPr>
          <w:rFonts w:eastAsiaTheme="minorHAnsi"/>
        </w:rPr>
        <w:t xml:space="preserve"> </w:t>
      </w:r>
      <w:r w:rsidR="00A809A9" w:rsidRPr="00A809A9">
        <w:rPr>
          <w:rFonts w:eastAsiaTheme="minorHAnsi"/>
        </w:rPr>
        <w:t xml:space="preserve">may update this </w:t>
      </w:r>
      <w:r w:rsidR="00BE5229">
        <w:rPr>
          <w:rFonts w:eastAsiaTheme="minorHAnsi"/>
        </w:rPr>
        <w:t xml:space="preserve">Guide </w:t>
      </w:r>
      <w:r w:rsidR="00A809A9" w:rsidRPr="00A809A9">
        <w:rPr>
          <w:rFonts w:eastAsiaTheme="minorHAnsi"/>
        </w:rPr>
        <w:t xml:space="preserve">from time to time and it is recommended </w:t>
      </w:r>
      <w:r w:rsidR="00053636">
        <w:rPr>
          <w:rFonts w:eastAsiaTheme="minorHAnsi"/>
        </w:rPr>
        <w:t>unitholders</w:t>
      </w:r>
      <w:r w:rsidR="00053636" w:rsidRPr="00A809A9">
        <w:rPr>
          <w:rFonts w:eastAsiaTheme="minorHAnsi"/>
        </w:rPr>
        <w:t xml:space="preserve"> </w:t>
      </w:r>
      <w:r w:rsidR="00A809A9" w:rsidRPr="00A809A9">
        <w:rPr>
          <w:rFonts w:eastAsiaTheme="minorHAnsi"/>
        </w:rPr>
        <w:t xml:space="preserve">refer to our website at </w:t>
      </w:r>
      <w:hyperlink r:id="rId9" w:history="1">
        <w:r w:rsidR="000979D2" w:rsidRPr="00072E8C">
          <w:rPr>
            <w:rStyle w:val="Hyperlink"/>
            <w:rFonts w:eastAsiaTheme="minorHAnsi"/>
          </w:rPr>
          <w:t>www.cromwell.com.au/c12</w:t>
        </w:r>
      </w:hyperlink>
      <w:r w:rsidR="00947882">
        <w:rPr>
          <w:rFonts w:eastAsiaTheme="minorHAnsi"/>
        </w:rPr>
        <w:t xml:space="preserve"> </w:t>
      </w:r>
      <w:r w:rsidR="00A809A9"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00A809A9" w:rsidRPr="00A809A9">
        <w:rPr>
          <w:rFonts w:eastAsiaTheme="minorHAnsi"/>
        </w:rPr>
        <w:t>or any updated information will be given to you on request and without charge.</w:t>
      </w:r>
    </w:p>
    <w:p w14:paraId="20B1DAA1" w14:textId="25E8394D" w:rsidR="00A809A9" w:rsidRPr="00A809A9" w:rsidRDefault="00A809A9" w:rsidP="00C62B3C">
      <w:pPr>
        <w:jc w:val="both"/>
        <w:rPr>
          <w:rFonts w:eastAsiaTheme="minorHAnsi"/>
        </w:rPr>
      </w:pPr>
      <w:r w:rsidRPr="00A809A9">
        <w:rPr>
          <w:rFonts w:eastAsiaTheme="minorHAnsi"/>
        </w:rPr>
        <w:t xml:space="preserve">From time to time, </w:t>
      </w:r>
      <w:r w:rsidR="00CF4156">
        <w:rPr>
          <w:rFonts w:eastAsiaTheme="minorHAnsi"/>
        </w:rPr>
        <w:t>CFM</w:t>
      </w:r>
      <w:r w:rsidR="00CF4156" w:rsidRPr="00A809A9">
        <w:rPr>
          <w:rFonts w:eastAsiaTheme="minorHAnsi"/>
        </w:rPr>
        <w:t xml:space="preserve"> </w:t>
      </w:r>
      <w:r w:rsidRPr="00A809A9">
        <w:rPr>
          <w:rFonts w:eastAsiaTheme="minorHAnsi"/>
        </w:rPr>
        <w:t xml:space="preserve">may become aware of information that is material to </w:t>
      </w:r>
      <w:r w:rsidR="00053636">
        <w:rPr>
          <w:rFonts w:eastAsiaTheme="minorHAnsi"/>
        </w:rPr>
        <w:t>unitholders</w:t>
      </w:r>
      <w:r w:rsidR="00053636" w:rsidRPr="00A809A9">
        <w:rPr>
          <w:rFonts w:eastAsiaTheme="minorHAnsi"/>
        </w:rPr>
        <w:t xml:space="preserve"> </w:t>
      </w:r>
      <w:r w:rsidRPr="00A809A9">
        <w:rPr>
          <w:rFonts w:eastAsiaTheme="minorHAnsi"/>
        </w:rPr>
        <w:t>but not covered by a disclosure</w:t>
      </w:r>
      <w:r>
        <w:rPr>
          <w:rFonts w:eastAsiaTheme="minorHAnsi"/>
        </w:rPr>
        <w:t xml:space="preserve"> </w:t>
      </w:r>
      <w:r w:rsidRPr="00A809A9">
        <w:rPr>
          <w:rFonts w:eastAsiaTheme="minorHAnsi"/>
        </w:rPr>
        <w:t xml:space="preserve">principle. Any such material information will be provided to </w:t>
      </w:r>
      <w:r w:rsidR="00053636">
        <w:rPr>
          <w:rFonts w:eastAsiaTheme="minorHAnsi"/>
        </w:rPr>
        <w:t>unitholders</w:t>
      </w:r>
      <w:r w:rsidR="00053636" w:rsidRPr="00A809A9">
        <w:rPr>
          <w:rFonts w:eastAsiaTheme="minorHAnsi"/>
        </w:rPr>
        <w:t xml:space="preserve"> </w:t>
      </w:r>
      <w:r w:rsidRPr="00A809A9">
        <w:rPr>
          <w:rFonts w:eastAsiaTheme="minorHAnsi"/>
        </w:rPr>
        <w:t>in continuous disclosure notices on our website</w:t>
      </w:r>
      <w:r>
        <w:rPr>
          <w:rFonts w:eastAsiaTheme="minorHAnsi"/>
        </w:rPr>
        <w:t xml:space="preserve"> </w:t>
      </w:r>
      <w:hyperlink r:id="rId10" w:history="1">
        <w:r w:rsidR="000979D2" w:rsidRPr="00072E8C">
          <w:rPr>
            <w:rStyle w:val="Hyperlink"/>
            <w:rFonts w:eastAsiaTheme="minorHAnsi"/>
          </w:rPr>
          <w:t>www.cromwell.com.au/c12</w:t>
        </w:r>
      </w:hyperlink>
      <w:r w:rsidR="00947882">
        <w:rPr>
          <w:rFonts w:eastAsiaTheme="minorHAnsi"/>
        </w:rPr>
        <w:t xml:space="preserve">. </w:t>
      </w:r>
    </w:p>
    <w:p w14:paraId="621D0FC7" w14:textId="77777777" w:rsidR="00AD776E" w:rsidRDefault="00AD776E" w:rsidP="00605D1C">
      <w:pPr>
        <w:pStyle w:val="Heading1"/>
      </w:pPr>
      <w:r w:rsidRPr="00181CFA">
        <w:lastRenderedPageBreak/>
        <w:t>Portfolio Diversification</w:t>
      </w:r>
    </w:p>
    <w:p w14:paraId="0FF33577" w14:textId="77777777" w:rsidR="002773A4" w:rsidRPr="002773A4" w:rsidRDefault="00A24850" w:rsidP="00605D1C">
      <w:pPr>
        <w:pStyle w:val="Heading2"/>
      </w:pPr>
      <w:r>
        <w:t xml:space="preserve">Trust </w:t>
      </w:r>
      <w:r w:rsidR="002773A4" w:rsidRPr="002773A4">
        <w:t>Investments</w:t>
      </w:r>
    </w:p>
    <w:p w14:paraId="0056C67D" w14:textId="7D7588B1" w:rsidR="00DD006D" w:rsidRDefault="00990EB6">
      <w:pPr>
        <w:autoSpaceDE w:val="0"/>
        <w:autoSpaceDN w:val="0"/>
        <w:adjustRightInd w:val="0"/>
        <w:jc w:val="both"/>
        <w:rPr>
          <w:rFonts w:cs="DIN-Regular"/>
          <w:szCs w:val="20"/>
        </w:rPr>
      </w:pPr>
      <w:r w:rsidRPr="00B73985">
        <w:rPr>
          <w:rFonts w:cs="DIN-Regular"/>
          <w:szCs w:val="20"/>
        </w:rPr>
        <w:t xml:space="preserve">The Trust owns </w:t>
      </w:r>
      <w:r w:rsidR="00A61387">
        <w:rPr>
          <w:rFonts w:cs="DIN-Regular"/>
          <w:szCs w:val="20"/>
        </w:rPr>
        <w:t xml:space="preserve">two </w:t>
      </w:r>
      <w:r w:rsidR="0038314C">
        <w:rPr>
          <w:rFonts w:cs="DIN-Regular"/>
          <w:szCs w:val="20"/>
        </w:rPr>
        <w:t>properties</w:t>
      </w:r>
      <w:r w:rsidR="00C5112F">
        <w:rPr>
          <w:rFonts w:cs="DIN-Regular"/>
          <w:szCs w:val="20"/>
        </w:rPr>
        <w:t>,</w:t>
      </w:r>
      <w:r w:rsidR="0038314C">
        <w:rPr>
          <w:rFonts w:cs="DIN-Regular"/>
          <w:szCs w:val="20"/>
        </w:rPr>
        <w:t xml:space="preserve"> located at </w:t>
      </w:r>
      <w:r w:rsidR="003D054E" w:rsidRPr="003D054E">
        <w:rPr>
          <w:rFonts w:cs="DIN-Regular"/>
          <w:szCs w:val="20"/>
        </w:rPr>
        <w:t xml:space="preserve">Lot 2, 902 </w:t>
      </w:r>
      <w:proofErr w:type="spellStart"/>
      <w:r w:rsidR="003D054E" w:rsidRPr="003D054E">
        <w:rPr>
          <w:rFonts w:cs="DIN-Regular"/>
          <w:szCs w:val="20"/>
        </w:rPr>
        <w:t>Caribu</w:t>
      </w:r>
      <w:proofErr w:type="spellEnd"/>
      <w:r w:rsidR="003D054E" w:rsidRPr="003D054E">
        <w:rPr>
          <w:rFonts w:cs="DIN-Regular"/>
          <w:szCs w:val="20"/>
        </w:rPr>
        <w:t xml:space="preserve"> Drive, Direk, SA</w:t>
      </w:r>
      <w:r w:rsidR="00C1728A">
        <w:rPr>
          <w:rFonts w:cs="DIN-Regular"/>
          <w:szCs w:val="20"/>
        </w:rPr>
        <w:t xml:space="preserve"> (“Rand Distribution Centre”)</w:t>
      </w:r>
      <w:r w:rsidR="003D054E" w:rsidRPr="003D054E">
        <w:rPr>
          <w:rFonts w:cs="DIN-Regular"/>
          <w:szCs w:val="20"/>
        </w:rPr>
        <w:t xml:space="preserve">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together</w:t>
      </w:r>
      <w:r w:rsidR="003B45C6">
        <w:rPr>
          <w:rFonts w:cs="DIN-Regular"/>
          <w:szCs w:val="20"/>
        </w:rPr>
        <w:t>,</w:t>
      </w:r>
      <w:r w:rsidR="00C1728A">
        <w:rPr>
          <w:rFonts w:cs="DIN-Regular"/>
          <w:szCs w:val="20"/>
        </w:rPr>
        <w:t xml:space="preserve"> </w:t>
      </w:r>
      <w:r w:rsidR="003D054E" w:rsidRPr="003D054E">
        <w:rPr>
          <w:rFonts w:cs="DIN-Regular"/>
          <w:szCs w:val="20"/>
        </w:rPr>
        <w:t>“the Propert</w:t>
      </w:r>
      <w:r w:rsidR="0038314C">
        <w:rPr>
          <w:rFonts w:cs="DIN-Regular"/>
          <w:szCs w:val="20"/>
        </w:rPr>
        <w:t>ies</w:t>
      </w:r>
      <w:r w:rsidR="003D054E" w:rsidRPr="003D054E">
        <w:rPr>
          <w:rFonts w:cs="DIN-Regular"/>
          <w:szCs w:val="20"/>
        </w:rPr>
        <w:t xml:space="preserve">”). </w:t>
      </w:r>
    </w:p>
    <w:p w14:paraId="1C095BFD"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14:paraId="2E1AC3B1" w14:textId="4B57F570" w:rsidR="00A809A9" w:rsidRPr="00B73985" w:rsidRDefault="00990EB6" w:rsidP="00B73985">
      <w:pPr>
        <w:autoSpaceDE w:val="0"/>
        <w:autoSpaceDN w:val="0"/>
        <w:adjustRightInd w:val="0"/>
        <w:jc w:val="both"/>
        <w:rPr>
          <w:rFonts w:cs="DIN-Regular"/>
          <w:szCs w:val="20"/>
        </w:rPr>
      </w:pPr>
      <w:r w:rsidRPr="00B73985">
        <w:rPr>
          <w:rFonts w:cs="DIN-Regular"/>
          <w:szCs w:val="20"/>
        </w:rPr>
        <w:t>Currently</w:t>
      </w:r>
      <w:r w:rsidR="003B45C6">
        <w:rPr>
          <w:rFonts w:cs="DIN-Regular"/>
          <w:szCs w:val="20"/>
        </w:rPr>
        <w:t>,</w:t>
      </w:r>
      <w:r w:rsidRPr="00B73985">
        <w:rPr>
          <w:rFonts w:cs="DIN-Regular"/>
          <w:szCs w:val="20"/>
        </w:rPr>
        <w:t xml:space="preserve"> the only significant non-direct property asset of the Trust is cash. As at </w:t>
      </w:r>
      <w:r w:rsidR="00ED59E0">
        <w:rPr>
          <w:rFonts w:cs="DIN-Regular"/>
          <w:szCs w:val="20"/>
        </w:rPr>
        <w:t xml:space="preserve">30 </w:t>
      </w:r>
      <w:r w:rsidR="008407F3">
        <w:rPr>
          <w:rFonts w:cs="DIN-Regular"/>
          <w:szCs w:val="20"/>
        </w:rPr>
        <w:t xml:space="preserve">September </w:t>
      </w:r>
      <w:r w:rsidR="00ED59E0">
        <w:rPr>
          <w:rFonts w:cs="DIN-Regular"/>
          <w:szCs w:val="20"/>
        </w:rPr>
        <w:t>2016</w:t>
      </w:r>
      <w:r w:rsidRPr="00B73985">
        <w:rPr>
          <w:rFonts w:cs="DIN-Regular"/>
          <w:szCs w:val="20"/>
        </w:rPr>
        <w:t>, the Trust held cash of</w:t>
      </w:r>
      <w:r w:rsidR="00DD4F73">
        <w:rPr>
          <w:rFonts w:cs="DIN-Regular"/>
          <w:szCs w:val="20"/>
        </w:rPr>
        <w:t xml:space="preserve"> </w:t>
      </w:r>
      <w:r w:rsidRPr="00B73985">
        <w:rPr>
          <w:rFonts w:cs="DIN-Regular"/>
          <w:szCs w:val="20"/>
        </w:rPr>
        <w:t>$</w:t>
      </w:r>
      <w:r w:rsidR="00082204">
        <w:rPr>
          <w:rFonts w:cs="DIN-Regular"/>
          <w:szCs w:val="20"/>
        </w:rPr>
        <w:t>3,</w:t>
      </w:r>
      <w:r w:rsidR="008407F3">
        <w:rPr>
          <w:rFonts w:cs="DIN-Regular"/>
          <w:szCs w:val="20"/>
        </w:rPr>
        <w:t>108</w:t>
      </w:r>
      <w:r w:rsidR="002869EA">
        <w:rPr>
          <w:rFonts w:cs="DIN-Regular"/>
          <w:szCs w:val="20"/>
        </w:rPr>
        <w:t>,000</w:t>
      </w:r>
      <w:r w:rsidRPr="00B73985">
        <w:rPr>
          <w:rFonts w:cs="DIN-Regular"/>
          <w:szCs w:val="20"/>
        </w:rPr>
        <w:t>.</w:t>
      </w:r>
    </w:p>
    <w:p w14:paraId="53D229CD" w14:textId="77777777" w:rsidR="002773A4" w:rsidRPr="00A24850" w:rsidRDefault="002773A4" w:rsidP="00A24850">
      <w:pPr>
        <w:pStyle w:val="Heading2"/>
        <w:rPr>
          <w:rFonts w:eastAsiaTheme="minorHAnsi"/>
        </w:rPr>
      </w:pPr>
      <w:r w:rsidRPr="002773A4">
        <w:t>Property Valuation</w:t>
      </w:r>
      <w:r w:rsidR="003C3A34">
        <w:t>s</w:t>
      </w:r>
    </w:p>
    <w:p w14:paraId="409A88C5" w14:textId="77777777"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092"/>
        <w:gridCol w:w="576"/>
        <w:gridCol w:w="1150"/>
        <w:gridCol w:w="1070"/>
        <w:gridCol w:w="1310"/>
        <w:gridCol w:w="982"/>
        <w:gridCol w:w="1079"/>
        <w:gridCol w:w="1665"/>
      </w:tblGrid>
      <w:tr w:rsidR="009B2C6A" w:rsidRPr="00054598" w14:paraId="3B3874A2" w14:textId="77777777" w:rsidTr="009B2C6A">
        <w:tc>
          <w:tcPr>
            <w:tcW w:w="1092" w:type="dxa"/>
            <w:tcBorders>
              <w:top w:val="nil"/>
            </w:tcBorders>
          </w:tcPr>
          <w:p w14:paraId="037DCB9B" w14:textId="77777777"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14:paraId="0BF8AB37"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14:paraId="5DCD0F68" w14:textId="77777777"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14:paraId="1ED4EBFD"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14:paraId="696E0F44"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14:paraId="3E4C930C" w14:textId="77777777"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14:paraId="1AB20A0E" w14:textId="77777777"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Valuer</w:t>
            </w:r>
          </w:p>
        </w:tc>
      </w:tr>
      <w:tr w:rsidR="009B2C6A" w:rsidRPr="00133CAE" w14:paraId="582851B2" w14:textId="77777777" w:rsidTr="00C1384B">
        <w:tc>
          <w:tcPr>
            <w:tcW w:w="1668" w:type="dxa"/>
            <w:gridSpan w:val="2"/>
          </w:tcPr>
          <w:p w14:paraId="7FDF3181" w14:textId="77777777"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14:paraId="307B2D15" w14:textId="77777777" w:rsidR="009B2C6A" w:rsidRDefault="009B2C6A" w:rsidP="00A6138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A61387">
              <w:rPr>
                <w:rFonts w:eastAsiaTheme="minorHAnsi"/>
                <w:color w:val="404040" w:themeColor="text1" w:themeTint="BF"/>
                <w:sz w:val="16"/>
                <w:szCs w:val="16"/>
              </w:rPr>
              <w:t>41</w:t>
            </w:r>
            <w:r>
              <w:rPr>
                <w:rFonts w:eastAsiaTheme="minorHAnsi"/>
                <w:color w:val="404040" w:themeColor="text1" w:themeTint="BF"/>
                <w:sz w:val="16"/>
                <w:szCs w:val="16"/>
              </w:rPr>
              <w:t>,</w:t>
            </w:r>
            <w:r w:rsidR="00A61387">
              <w:rPr>
                <w:rFonts w:eastAsiaTheme="minorHAnsi"/>
                <w:color w:val="404040" w:themeColor="text1" w:themeTint="BF"/>
                <w:sz w:val="16"/>
                <w:szCs w:val="16"/>
              </w:rPr>
              <w:t>700</w:t>
            </w:r>
            <w:r>
              <w:rPr>
                <w:rFonts w:eastAsiaTheme="minorHAnsi"/>
                <w:color w:val="404040" w:themeColor="text1" w:themeTint="BF"/>
                <w:sz w:val="16"/>
                <w:szCs w:val="16"/>
              </w:rPr>
              <w:t>,000</w:t>
            </w:r>
          </w:p>
        </w:tc>
        <w:tc>
          <w:tcPr>
            <w:tcW w:w="1070" w:type="dxa"/>
          </w:tcPr>
          <w:p w14:paraId="007D44FE" w14:textId="77777777"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14:paraId="60CC66E3" w14:textId="56D9B5FB" w:rsidR="009B2C6A" w:rsidRDefault="002869E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June 2016</w:t>
            </w:r>
          </w:p>
        </w:tc>
        <w:tc>
          <w:tcPr>
            <w:tcW w:w="982" w:type="dxa"/>
          </w:tcPr>
          <w:p w14:paraId="1C940F86" w14:textId="77777777" w:rsidR="009B2C6A" w:rsidRDefault="007F603B"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7.50</w:t>
            </w:r>
            <w:r w:rsidR="009B2C6A">
              <w:rPr>
                <w:rFonts w:eastAsiaTheme="minorHAnsi"/>
                <w:color w:val="404040" w:themeColor="text1" w:themeTint="BF"/>
                <w:sz w:val="16"/>
                <w:szCs w:val="16"/>
              </w:rPr>
              <w:t>%</w:t>
            </w:r>
          </w:p>
        </w:tc>
        <w:tc>
          <w:tcPr>
            <w:tcW w:w="1079" w:type="dxa"/>
          </w:tcPr>
          <w:p w14:paraId="77244CB0" w14:textId="77777777"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14:paraId="469EE0F1" w14:textId="79273E3D" w:rsidR="009B2C6A" w:rsidRPr="00133CAE" w:rsidRDefault="002869EA" w:rsidP="008004E6">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Independent</w:t>
            </w:r>
          </w:p>
        </w:tc>
      </w:tr>
      <w:tr w:rsidR="009B2C6A" w:rsidRPr="00133CAE" w14:paraId="2B55E1AE" w14:textId="77777777" w:rsidTr="00C1384B">
        <w:trPr>
          <w:trHeight w:val="362"/>
        </w:trPr>
        <w:tc>
          <w:tcPr>
            <w:tcW w:w="1668" w:type="dxa"/>
            <w:gridSpan w:val="2"/>
          </w:tcPr>
          <w:p w14:paraId="1DD2F2D5" w14:textId="77777777"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14:paraId="40BA8EB3" w14:textId="086F996A" w:rsidR="009B2C6A" w:rsidRDefault="009B2C6A" w:rsidP="008407F3">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8407F3">
              <w:rPr>
                <w:rFonts w:eastAsiaTheme="minorHAnsi"/>
                <w:color w:val="404040" w:themeColor="text1" w:themeTint="BF"/>
                <w:sz w:val="16"/>
                <w:szCs w:val="16"/>
              </w:rPr>
              <w:t>92,500</w:t>
            </w:r>
            <w:r>
              <w:rPr>
                <w:rFonts w:eastAsiaTheme="minorHAnsi"/>
                <w:color w:val="404040" w:themeColor="text1" w:themeTint="BF"/>
                <w:sz w:val="16"/>
                <w:szCs w:val="16"/>
              </w:rPr>
              <w:t>,000</w:t>
            </w:r>
          </w:p>
        </w:tc>
        <w:tc>
          <w:tcPr>
            <w:tcW w:w="1070" w:type="dxa"/>
          </w:tcPr>
          <w:p w14:paraId="50014124" w14:textId="77777777"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14:paraId="5B2CF34B" w14:textId="5ECDC5A1" w:rsidR="009B2C6A" w:rsidRDefault="00467B08" w:rsidP="008407F3">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September 201</w:t>
            </w:r>
            <w:r w:rsidR="008407F3">
              <w:rPr>
                <w:rFonts w:eastAsiaTheme="minorHAnsi"/>
                <w:color w:val="404040" w:themeColor="text1" w:themeTint="BF"/>
                <w:sz w:val="16"/>
                <w:szCs w:val="16"/>
              </w:rPr>
              <w:t>6</w:t>
            </w:r>
          </w:p>
        </w:tc>
        <w:tc>
          <w:tcPr>
            <w:tcW w:w="982" w:type="dxa"/>
          </w:tcPr>
          <w:p w14:paraId="667E6FB1" w14:textId="77777777" w:rsidR="009B2C6A" w:rsidRDefault="00EE4B29"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6.00</w:t>
            </w:r>
            <w:r w:rsidR="009B2C6A">
              <w:rPr>
                <w:rFonts w:eastAsiaTheme="minorHAnsi"/>
                <w:color w:val="404040" w:themeColor="text1" w:themeTint="BF"/>
                <w:sz w:val="16"/>
                <w:szCs w:val="16"/>
              </w:rPr>
              <w:t>%</w:t>
            </w:r>
          </w:p>
        </w:tc>
        <w:tc>
          <w:tcPr>
            <w:tcW w:w="1079" w:type="dxa"/>
          </w:tcPr>
          <w:p w14:paraId="1B8FC546" w14:textId="77777777"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14:paraId="758FDE73" w14:textId="148DB151"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bl>
    <w:p w14:paraId="18BFAC73" w14:textId="77777777" w:rsidR="009B2C6A" w:rsidRDefault="009B2C6A" w:rsidP="00A24850">
      <w:pPr>
        <w:rPr>
          <w:noProof/>
          <w:szCs w:val="20"/>
          <w:lang w:eastAsia="en-AU"/>
        </w:rPr>
      </w:pPr>
    </w:p>
    <w:p w14:paraId="0C478242" w14:textId="791292FB" w:rsidR="002B7A15" w:rsidRDefault="002B7A15" w:rsidP="00B73985">
      <w:pPr>
        <w:autoSpaceDE w:val="0"/>
        <w:autoSpaceDN w:val="0"/>
        <w:adjustRightInd w:val="0"/>
        <w:jc w:val="both"/>
        <w:rPr>
          <w:rFonts w:cs="DIN-Regular"/>
          <w:szCs w:val="20"/>
        </w:rPr>
      </w:pPr>
      <w:r>
        <w:rPr>
          <w:rFonts w:cs="DIN-Regular"/>
          <w:szCs w:val="20"/>
        </w:rPr>
        <w:t>I</w:t>
      </w:r>
      <w:r w:rsidR="00990EB6" w:rsidRPr="00B73985">
        <w:rPr>
          <w:rFonts w:cs="DIN-Regular"/>
          <w:szCs w:val="20"/>
        </w:rPr>
        <w:t xml:space="preserve">n the Trust’s </w:t>
      </w:r>
      <w:r w:rsidR="00ED59E0">
        <w:rPr>
          <w:rFonts w:cs="DIN-Regular"/>
          <w:szCs w:val="20"/>
        </w:rPr>
        <w:t>30 June 2016</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EE4B29">
        <w:rPr>
          <w:rFonts w:cs="DIN-Regular"/>
          <w:szCs w:val="20"/>
        </w:rPr>
        <w:t>128,700</w:t>
      </w:r>
      <w:r w:rsidR="007719A4">
        <w:rPr>
          <w:rFonts w:cs="DIN-Regular"/>
          <w:szCs w:val="20"/>
        </w:rPr>
        <w:t>,000</w:t>
      </w:r>
      <w:r w:rsidR="00F8587D">
        <w:rPr>
          <w:rFonts w:cs="DIN-Regular"/>
          <w:szCs w:val="20"/>
        </w:rPr>
        <w:t xml:space="preserve"> which represented </w:t>
      </w:r>
      <w:r w:rsidR="000F3AB4">
        <w:rPr>
          <w:rFonts w:cs="DIN-Regular"/>
          <w:szCs w:val="20"/>
        </w:rPr>
        <w:t xml:space="preserve">the </w:t>
      </w:r>
      <w:r w:rsidR="002869EA">
        <w:rPr>
          <w:rFonts w:cs="DIN-Regular"/>
          <w:szCs w:val="20"/>
        </w:rPr>
        <w:t xml:space="preserve">independent </w:t>
      </w:r>
      <w:r w:rsidR="000F3AB4">
        <w:rPr>
          <w:rFonts w:cs="DIN-Regular"/>
          <w:szCs w:val="20"/>
        </w:rPr>
        <w:t xml:space="preserve">valuation on the </w:t>
      </w:r>
      <w:r w:rsidR="00C1728A">
        <w:rPr>
          <w:rFonts w:cs="DIN-Regular"/>
          <w:szCs w:val="20"/>
        </w:rPr>
        <w:t xml:space="preserve">Rand Distribution Centre </w:t>
      </w:r>
      <w:r w:rsidR="00BC20B6">
        <w:rPr>
          <w:rFonts w:cs="DIN-Regular"/>
          <w:szCs w:val="20"/>
        </w:rPr>
        <w:t xml:space="preserve">and the </w:t>
      </w:r>
      <w:r w:rsidR="00926F11">
        <w:rPr>
          <w:rFonts w:cs="DIN-Regular"/>
          <w:szCs w:val="20"/>
        </w:rPr>
        <w:t xml:space="preserve">independent valuation on </w:t>
      </w:r>
      <w:r w:rsidR="00C1728A">
        <w:rPr>
          <w:rFonts w:cs="DIN-Regular"/>
          <w:szCs w:val="20"/>
        </w:rPr>
        <w:t>ATO Dandenong property</w:t>
      </w:r>
      <w:r w:rsidR="00F8587D">
        <w:rPr>
          <w:rFonts w:cs="DIN-Regular"/>
          <w:szCs w:val="20"/>
        </w:rPr>
        <w:t>.</w:t>
      </w:r>
      <w:r>
        <w:rPr>
          <w:rFonts w:cs="DIN-Regular"/>
          <w:szCs w:val="20"/>
        </w:rPr>
        <w:t xml:space="preserve">  </w:t>
      </w:r>
    </w:p>
    <w:p w14:paraId="2E5CE695" w14:textId="77777777" w:rsidR="000F3AB4" w:rsidRDefault="00EE4B29" w:rsidP="00B73985">
      <w:pPr>
        <w:autoSpaceDE w:val="0"/>
        <w:autoSpaceDN w:val="0"/>
        <w:adjustRightInd w:val="0"/>
        <w:jc w:val="both"/>
        <w:rPr>
          <w:rFonts w:cs="DIN-Regular"/>
          <w:szCs w:val="20"/>
        </w:rPr>
      </w:pPr>
      <w:r>
        <w:rPr>
          <w:rFonts w:cs="DIN-Regular"/>
          <w:szCs w:val="20"/>
        </w:rPr>
        <w:t>The Trust’s</w:t>
      </w:r>
      <w:r w:rsidR="00E431BC">
        <w:rPr>
          <w:rFonts w:cs="DIN-Regular"/>
          <w:szCs w:val="20"/>
        </w:rPr>
        <w:t xml:space="preserve"> South Melbourne asset was settled on the 17</w:t>
      </w:r>
      <w:r w:rsidR="00E431BC" w:rsidRPr="0048631F">
        <w:rPr>
          <w:rFonts w:cs="DIN-Regular"/>
          <w:szCs w:val="20"/>
          <w:vertAlign w:val="superscript"/>
        </w:rPr>
        <w:t>th</w:t>
      </w:r>
      <w:r w:rsidR="00E431BC">
        <w:rPr>
          <w:rFonts w:cs="DIN-Regular"/>
          <w:szCs w:val="20"/>
        </w:rPr>
        <w:t xml:space="preserve"> of August 2015.</w:t>
      </w:r>
    </w:p>
    <w:p w14:paraId="3D06BC58" w14:textId="37BA9261"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ED59E0">
        <w:rPr>
          <w:rFonts w:cs="DIN-Regular"/>
          <w:szCs w:val="20"/>
        </w:rPr>
        <w:t xml:space="preserve">30 </w:t>
      </w:r>
      <w:r w:rsidR="008407F3">
        <w:rPr>
          <w:rFonts w:cs="DIN-Regular"/>
          <w:szCs w:val="20"/>
        </w:rPr>
        <w:t xml:space="preserve">September </w:t>
      </w:r>
      <w:r w:rsidR="00ED59E0">
        <w:rPr>
          <w:rFonts w:cs="DIN-Regular"/>
          <w:szCs w:val="20"/>
        </w:rPr>
        <w:t xml:space="preserve">2016 </w:t>
      </w:r>
      <w:r w:rsidRPr="00B73985">
        <w:rPr>
          <w:rFonts w:cs="DIN-Regular"/>
          <w:szCs w:val="20"/>
        </w:rPr>
        <w:t xml:space="preserve">the Trust had total assets of </w:t>
      </w:r>
      <w:r w:rsidR="00601FF4">
        <w:rPr>
          <w:rFonts w:cs="DIN-Regular"/>
          <w:szCs w:val="20"/>
        </w:rPr>
        <w:t>$</w:t>
      </w:r>
      <w:r w:rsidR="00AD24C0">
        <w:rPr>
          <w:rFonts w:cs="DIN-Regular"/>
          <w:szCs w:val="20"/>
        </w:rPr>
        <w:t>137,587</w:t>
      </w:r>
      <w:r w:rsidR="00EE4B29">
        <w:rPr>
          <w:rFonts w:cs="DIN-Regular"/>
          <w:szCs w:val="20"/>
        </w:rPr>
        <w:t>,000</w:t>
      </w:r>
      <w:r w:rsidRPr="00B73985">
        <w:rPr>
          <w:rFonts w:cs="DIN-Regular"/>
          <w:szCs w:val="20"/>
        </w:rPr>
        <w:t xml:space="preserve">. Therefore, at </w:t>
      </w:r>
      <w:r w:rsidR="00ED59E0">
        <w:rPr>
          <w:rFonts w:cs="DIN-Regular"/>
          <w:szCs w:val="20"/>
        </w:rPr>
        <w:t xml:space="preserve">30 </w:t>
      </w:r>
      <w:r w:rsidR="00AD24C0">
        <w:rPr>
          <w:rFonts w:cs="DIN-Regular"/>
          <w:szCs w:val="20"/>
        </w:rPr>
        <w:t xml:space="preserve">September </w:t>
      </w:r>
      <w:r w:rsidR="00ED59E0">
        <w:rPr>
          <w:rFonts w:cs="DIN-Regular"/>
          <w:szCs w:val="20"/>
        </w:rPr>
        <w:t>2016</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876C2B">
        <w:rPr>
          <w:rFonts w:cs="DIN-Regular"/>
          <w:szCs w:val="20"/>
        </w:rPr>
        <w:t>9</w:t>
      </w:r>
      <w:r w:rsidR="00467B08">
        <w:rPr>
          <w:rFonts w:cs="DIN-Regular"/>
          <w:szCs w:val="20"/>
        </w:rPr>
        <w:t>8</w:t>
      </w:r>
      <w:r w:rsidR="00C77ABA">
        <w:rPr>
          <w:rFonts w:cs="DIN-Regular"/>
          <w:szCs w:val="20"/>
        </w:rPr>
        <w:t>%</w:t>
      </w:r>
      <w:r w:rsidR="00601FF4">
        <w:rPr>
          <w:rFonts w:cs="DIN-Regular"/>
          <w:szCs w:val="20"/>
        </w:rPr>
        <w:t xml:space="preserve"> </w:t>
      </w:r>
      <w:r w:rsidRPr="00B73985">
        <w:rPr>
          <w:rFonts w:cs="DIN-Regular"/>
          <w:szCs w:val="20"/>
        </w:rPr>
        <w:t xml:space="preserve">of the Trust’s total assets. </w:t>
      </w:r>
    </w:p>
    <w:p w14:paraId="680E3875" w14:textId="77777777" w:rsidR="00AD776E" w:rsidRPr="00181CFA" w:rsidRDefault="00AD776E" w:rsidP="00605D1C">
      <w:pPr>
        <w:pStyle w:val="Heading2"/>
      </w:pPr>
      <w:r w:rsidRPr="00181CFA">
        <w:t>Lease Expiry Profile</w:t>
      </w:r>
    </w:p>
    <w:p w14:paraId="0498C117" w14:textId="77777777" w:rsidR="00647481" w:rsidRDefault="00876C2B" w:rsidP="0022213F">
      <w:pPr>
        <w:autoSpaceDE w:val="0"/>
        <w:autoSpaceDN w:val="0"/>
        <w:adjustRightInd w:val="0"/>
        <w:jc w:val="both"/>
        <w:rPr>
          <w:rFonts w:cs="DIN-Regular"/>
          <w:szCs w:val="20"/>
        </w:rPr>
      </w:pPr>
      <w:r>
        <w:rPr>
          <w:rFonts w:cs="DIN-Regular"/>
          <w:szCs w:val="20"/>
        </w:rPr>
        <w:t xml:space="preserve">The following chart shows the lease expiry profile for the Property in yearly periods calculated on the basis of the Trust’s income. </w:t>
      </w:r>
    </w:p>
    <w:p w14:paraId="73344800" w14:textId="2F4ED1B2"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r w:rsidR="001B0101">
        <w:rPr>
          <w:rFonts w:cs="DIN-Regular"/>
          <w:b/>
          <w:szCs w:val="20"/>
        </w:rPr>
        <w:t xml:space="preserve"> as at 30 June 2016</w:t>
      </w:r>
    </w:p>
    <w:p w14:paraId="37BB0E21" w14:textId="77777777" w:rsidR="00D57C77" w:rsidRPr="00181CFA" w:rsidRDefault="006609BE" w:rsidP="00990EB6">
      <w:pPr>
        <w:autoSpaceDE w:val="0"/>
        <w:autoSpaceDN w:val="0"/>
        <w:adjustRightInd w:val="0"/>
        <w:jc w:val="both"/>
        <w:rPr>
          <w:rFonts w:cs="DIN-Regular"/>
          <w:szCs w:val="20"/>
        </w:rPr>
      </w:pPr>
      <w:r>
        <w:rPr>
          <w:rFonts w:cs="DIN-Regular"/>
          <w:noProof/>
          <w:szCs w:val="20"/>
          <w:lang w:eastAsia="en-AU"/>
        </w:rPr>
        <w:lastRenderedPageBreak/>
        <w:drawing>
          <wp:inline distT="0" distB="0" distL="0" distR="0" wp14:anchorId="208C5734" wp14:editId="42FA2E0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19D1A5" w14:textId="703E76B3"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w:t>
      </w:r>
    </w:p>
    <w:p w14:paraId="5F8C6F9F" w14:textId="77777777" w:rsidR="00AD776E" w:rsidRPr="00181CFA" w:rsidRDefault="00F8587D" w:rsidP="00605D1C">
      <w:pPr>
        <w:pStyle w:val="Heading2"/>
      </w:pPr>
      <w:r>
        <w:t>Vacancy</w:t>
      </w:r>
      <w:r w:rsidR="00604B3E">
        <w:t xml:space="preserve"> Rate</w:t>
      </w:r>
    </w:p>
    <w:p w14:paraId="29A307F2" w14:textId="77777777" w:rsidR="00AD776E" w:rsidRPr="00181CFA" w:rsidRDefault="00990EB6" w:rsidP="00E40270">
      <w:pPr>
        <w:pStyle w:val="Heading2"/>
        <w:numPr>
          <w:ilvl w:val="0"/>
          <w:numId w:val="0"/>
        </w:numPr>
      </w:pPr>
      <w:r w:rsidRPr="00E40270">
        <w:rPr>
          <w:rFonts w:cs="DIN-Regular"/>
          <w:b w:val="0"/>
          <w:color w:val="auto"/>
          <w:sz w:val="20"/>
          <w:lang w:eastAsia="en-US"/>
        </w:rPr>
        <w:t xml:space="preserve">The </w:t>
      </w:r>
      <w:r w:rsidR="00F8587D" w:rsidRPr="00E40270">
        <w:rPr>
          <w:rFonts w:cs="DIN-Regular"/>
          <w:b w:val="0"/>
          <w:color w:val="auto"/>
          <w:sz w:val="20"/>
          <w:lang w:eastAsia="en-US"/>
        </w:rPr>
        <w:t xml:space="preserve">lease vacancy </w:t>
      </w:r>
      <w:r w:rsidRPr="00E40270">
        <w:rPr>
          <w:rFonts w:cs="DIN-Regular"/>
          <w:b w:val="0"/>
          <w:color w:val="auto"/>
          <w:sz w:val="20"/>
          <w:lang w:eastAsia="en-US"/>
        </w:rPr>
        <w:t>rate for the Propert</w:t>
      </w:r>
      <w:r w:rsidR="00D53122" w:rsidRPr="00E40270">
        <w:rPr>
          <w:rFonts w:cs="DIN-Regular"/>
          <w:b w:val="0"/>
          <w:color w:val="auto"/>
          <w:sz w:val="20"/>
          <w:lang w:eastAsia="en-US"/>
        </w:rPr>
        <w:t>ies</w:t>
      </w:r>
      <w:r w:rsidR="00F8587D" w:rsidRPr="00E40270">
        <w:rPr>
          <w:rFonts w:cs="DIN-Regular"/>
          <w:b w:val="0"/>
          <w:color w:val="auto"/>
          <w:sz w:val="20"/>
          <w:lang w:eastAsia="en-US"/>
        </w:rPr>
        <w:t xml:space="preserve"> </w:t>
      </w:r>
      <w:r w:rsidRPr="00E40270">
        <w:rPr>
          <w:rFonts w:cs="DIN-Regular"/>
          <w:b w:val="0"/>
          <w:color w:val="auto"/>
          <w:sz w:val="20"/>
          <w:lang w:eastAsia="en-US"/>
        </w:rPr>
        <w:t>is</w:t>
      </w:r>
      <w:r w:rsidR="00F8587D" w:rsidRPr="00E40270">
        <w:rPr>
          <w:rFonts w:cs="DIN-Regular"/>
          <w:b w:val="0"/>
          <w:color w:val="auto"/>
          <w:sz w:val="20"/>
          <w:lang w:eastAsia="en-US"/>
        </w:rPr>
        <w:t xml:space="preserve"> nil</w:t>
      </w:r>
      <w:r w:rsidRPr="00E40270">
        <w:rPr>
          <w:rFonts w:cs="DIN-Regular"/>
          <w:b w:val="0"/>
          <w:color w:val="auto"/>
          <w:sz w:val="20"/>
          <w:lang w:eastAsia="en-US"/>
        </w:rPr>
        <w:t xml:space="preserve">. The </w:t>
      </w:r>
      <w:r w:rsidR="00F8587D" w:rsidRPr="00E40270">
        <w:rPr>
          <w:rFonts w:cs="DIN-Regular"/>
          <w:b w:val="0"/>
          <w:color w:val="auto"/>
          <w:sz w:val="20"/>
          <w:lang w:eastAsia="en-US"/>
        </w:rPr>
        <w:t xml:space="preserve">vacancy </w:t>
      </w:r>
      <w:r w:rsidRPr="00E40270">
        <w:rPr>
          <w:rFonts w:cs="DIN-Regular"/>
          <w:b w:val="0"/>
          <w:color w:val="auto"/>
          <w:sz w:val="20"/>
          <w:lang w:eastAsia="en-US"/>
        </w:rPr>
        <w:t>rate represents the portion of the Propert</w:t>
      </w:r>
      <w:r w:rsidR="003C3A34" w:rsidRPr="00E40270">
        <w:rPr>
          <w:rFonts w:cs="DIN-Regular"/>
          <w:b w:val="0"/>
          <w:color w:val="auto"/>
          <w:sz w:val="20"/>
          <w:lang w:eastAsia="en-US"/>
        </w:rPr>
        <w:t>ies</w:t>
      </w:r>
      <w:r w:rsidRPr="00E40270">
        <w:rPr>
          <w:rFonts w:cs="DIN-Regular"/>
          <w:b w:val="0"/>
          <w:color w:val="auto"/>
          <w:sz w:val="20"/>
          <w:lang w:eastAsia="en-US"/>
        </w:rPr>
        <w:t xml:space="preserve"> which is </w:t>
      </w:r>
      <w:r w:rsidR="00EE5D1D" w:rsidRPr="00E40270">
        <w:rPr>
          <w:rFonts w:cs="DIN-Regular"/>
          <w:b w:val="0"/>
          <w:color w:val="auto"/>
          <w:sz w:val="20"/>
          <w:lang w:eastAsia="en-US"/>
        </w:rPr>
        <w:t xml:space="preserve">not </w:t>
      </w:r>
      <w:r w:rsidRPr="00E40270">
        <w:rPr>
          <w:rFonts w:cs="DIN-Regular"/>
          <w:b w:val="0"/>
          <w:color w:val="auto"/>
          <w:sz w:val="20"/>
          <w:lang w:eastAsia="en-US"/>
        </w:rPr>
        <w:t>subject</w:t>
      </w:r>
      <w:r w:rsidR="00DD4F73" w:rsidRPr="00E40270">
        <w:rPr>
          <w:rFonts w:cs="DIN-Regular"/>
          <w:b w:val="0"/>
          <w:color w:val="auto"/>
          <w:sz w:val="20"/>
          <w:lang w:eastAsia="en-US"/>
        </w:rPr>
        <w:t xml:space="preserve"> </w:t>
      </w:r>
      <w:r w:rsidRPr="00E40270">
        <w:rPr>
          <w:rFonts w:cs="DIN-Regular"/>
          <w:b w:val="0"/>
          <w:color w:val="auto"/>
          <w:sz w:val="20"/>
          <w:lang w:eastAsia="en-US"/>
        </w:rPr>
        <w:t>to a lease or an agreement for lease.</w:t>
      </w:r>
    </w:p>
    <w:p w14:paraId="6E7498F1" w14:textId="275CADDC" w:rsidR="00947882" w:rsidRPr="00B73985" w:rsidRDefault="00400057" w:rsidP="00B73985">
      <w:pPr>
        <w:autoSpaceDE w:val="0"/>
        <w:autoSpaceDN w:val="0"/>
        <w:adjustRightInd w:val="0"/>
        <w:jc w:val="both"/>
        <w:rPr>
          <w:rFonts w:cs="DIN-Regular"/>
          <w:szCs w:val="20"/>
        </w:rPr>
      </w:pPr>
      <w:r>
        <w:rPr>
          <w:rFonts w:cs="DIN-Regular"/>
          <w:szCs w:val="20"/>
        </w:rPr>
        <w:t>The</w:t>
      </w:r>
      <w:r w:rsidR="00DD4F73">
        <w:rPr>
          <w:rFonts w:cs="DIN-Regular"/>
          <w:szCs w:val="20"/>
        </w:rPr>
        <w:t xml:space="preserve"> </w:t>
      </w:r>
      <w:r w:rsidR="0073205E" w:rsidRPr="004A12AF">
        <w:rPr>
          <w:rFonts w:cs="DIN-Regular"/>
          <w:szCs w:val="20"/>
        </w:rPr>
        <w:t>Trust</w:t>
      </w:r>
      <w:r w:rsidR="00DF0D9A" w:rsidRPr="004A12AF">
        <w:rPr>
          <w:rFonts w:cs="DIN-Regular"/>
          <w:szCs w:val="20"/>
        </w:rPr>
        <w:t>’</w:t>
      </w:r>
      <w:r w:rsidR="0073205E" w:rsidRPr="004A12AF">
        <w:rPr>
          <w:rFonts w:cs="DIN-Regular"/>
          <w:szCs w:val="20"/>
        </w:rPr>
        <w:t>s</w:t>
      </w:r>
      <w:r w:rsidR="00985A07" w:rsidRPr="004A12AF">
        <w:rPr>
          <w:rFonts w:cs="DIN-Regular"/>
          <w:szCs w:val="20"/>
        </w:rPr>
        <w:t xml:space="preserve"> tenants</w:t>
      </w:r>
      <w:r w:rsidR="00990EB6" w:rsidRPr="004A12AF">
        <w:rPr>
          <w:rFonts w:cs="DIN-Regular"/>
          <w:szCs w:val="20"/>
        </w:rPr>
        <w:t xml:space="preserve"> </w:t>
      </w:r>
      <w:r w:rsidR="003F1192" w:rsidRPr="004A12AF">
        <w:rPr>
          <w:rFonts w:cs="DIN-Regular"/>
          <w:szCs w:val="20"/>
        </w:rPr>
        <w:t xml:space="preserve">across both assets </w:t>
      </w:r>
      <w:r w:rsidR="00990EB6" w:rsidRPr="004A12AF">
        <w:rPr>
          <w:rFonts w:cs="DIN-Regular"/>
          <w:szCs w:val="20"/>
        </w:rPr>
        <w:t>(b</w:t>
      </w:r>
      <w:r w:rsidR="00990EB6" w:rsidRPr="00B73985">
        <w:rPr>
          <w:rFonts w:cs="DIN-Regular"/>
          <w:szCs w:val="20"/>
        </w:rPr>
        <w:t xml:space="preserve">y percentage of gross income) </w:t>
      </w:r>
      <w:r>
        <w:rPr>
          <w:rFonts w:cs="DIN-Regular"/>
          <w:szCs w:val="20"/>
        </w:rPr>
        <w:t>are</w:t>
      </w:r>
      <w:r w:rsidR="00990EB6"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936"/>
        <w:gridCol w:w="2551"/>
      </w:tblGrid>
      <w:tr w:rsidR="00931081" w:rsidRPr="00054598" w14:paraId="0D7B1476" w14:textId="77777777" w:rsidTr="00133CAE">
        <w:tc>
          <w:tcPr>
            <w:tcW w:w="3936" w:type="dxa"/>
          </w:tcPr>
          <w:p w14:paraId="0A1C4114" w14:textId="77777777"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14:paraId="78F9428D" w14:textId="77777777"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14:paraId="27AC9DA8" w14:textId="77777777" w:rsidTr="00133CAE">
        <w:tc>
          <w:tcPr>
            <w:tcW w:w="3936" w:type="dxa"/>
          </w:tcPr>
          <w:p w14:paraId="45CCA272" w14:textId="77777777"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14:paraId="5680D65D" w14:textId="2C1E65DC" w:rsidR="00931081" w:rsidRPr="00133CAE" w:rsidRDefault="00422FF8" w:rsidP="00E82EAF">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61.7</w:t>
            </w:r>
            <w:r w:rsidR="000B0801">
              <w:rPr>
                <w:rFonts w:eastAsiaTheme="minorHAnsi"/>
                <w:color w:val="404040" w:themeColor="text1" w:themeTint="BF"/>
                <w:sz w:val="16"/>
                <w:szCs w:val="16"/>
              </w:rPr>
              <w:t>%</w:t>
            </w:r>
          </w:p>
        </w:tc>
      </w:tr>
      <w:tr w:rsidR="00985A07" w:rsidRPr="00133CAE" w14:paraId="7904FD56" w14:textId="77777777" w:rsidTr="00133CAE">
        <w:tc>
          <w:tcPr>
            <w:tcW w:w="3936" w:type="dxa"/>
          </w:tcPr>
          <w:p w14:paraId="2428F0C7" w14:textId="77777777"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14:paraId="51A9C55A" w14:textId="378281AB" w:rsidR="00985A07" w:rsidRDefault="00400057" w:rsidP="005733BF">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3</w:t>
            </w:r>
            <w:r w:rsidR="00E82EAF">
              <w:rPr>
                <w:rFonts w:eastAsiaTheme="minorHAnsi"/>
                <w:color w:val="404040" w:themeColor="text1" w:themeTint="BF"/>
                <w:sz w:val="16"/>
                <w:szCs w:val="16"/>
              </w:rPr>
              <w:t>3.0</w:t>
            </w:r>
            <w:r w:rsidR="00985A07">
              <w:rPr>
                <w:rFonts w:eastAsiaTheme="minorHAnsi"/>
                <w:color w:val="404040" w:themeColor="text1" w:themeTint="BF"/>
                <w:sz w:val="16"/>
                <w:szCs w:val="16"/>
              </w:rPr>
              <w:t>%</w:t>
            </w:r>
          </w:p>
        </w:tc>
      </w:tr>
      <w:tr w:rsidR="00985A07" w:rsidRPr="00133CAE" w14:paraId="09D5D428" w14:textId="77777777" w:rsidTr="00133CAE">
        <w:tc>
          <w:tcPr>
            <w:tcW w:w="3936" w:type="dxa"/>
          </w:tcPr>
          <w:p w14:paraId="4F77BECF" w14:textId="77777777"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14:paraId="3FDFDAB3" w14:textId="24B54893" w:rsidR="00985A07" w:rsidRDefault="00400057" w:rsidP="00422FF8">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5.3</w:t>
            </w:r>
            <w:r w:rsidR="00985A07">
              <w:rPr>
                <w:rFonts w:eastAsiaTheme="minorHAnsi"/>
                <w:color w:val="404040" w:themeColor="text1" w:themeTint="BF"/>
                <w:sz w:val="16"/>
                <w:szCs w:val="16"/>
              </w:rPr>
              <w:t>%</w:t>
            </w:r>
          </w:p>
        </w:tc>
      </w:tr>
      <w:tr w:rsidR="00931081" w:rsidRPr="00931081" w14:paraId="5ED13917" w14:textId="77777777" w:rsidTr="00133CAE">
        <w:tc>
          <w:tcPr>
            <w:tcW w:w="3936" w:type="dxa"/>
          </w:tcPr>
          <w:p w14:paraId="6B38AED0" w14:textId="77777777" w:rsidR="00931081" w:rsidRPr="00931081" w:rsidRDefault="00931081" w:rsidP="00931081">
            <w:pPr>
              <w:spacing w:before="40" w:after="40"/>
              <w:rPr>
                <w:rFonts w:eastAsiaTheme="minorHAnsi"/>
                <w:color w:val="002060"/>
                <w:sz w:val="16"/>
                <w:szCs w:val="16"/>
              </w:rPr>
            </w:pPr>
          </w:p>
        </w:tc>
        <w:tc>
          <w:tcPr>
            <w:tcW w:w="2551" w:type="dxa"/>
          </w:tcPr>
          <w:p w14:paraId="789748D0" w14:textId="77777777"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14:paraId="1B8805FE" w14:textId="77777777" w:rsidR="00E744AE" w:rsidRDefault="0035185E">
      <w:pPr>
        <w:pStyle w:val="Heading1"/>
      </w:pPr>
      <w:r>
        <w:t>Net T</w:t>
      </w:r>
      <w:r w:rsidR="004636AD">
        <w:t>angible Assets</w:t>
      </w:r>
    </w:p>
    <w:p w14:paraId="4C5AA48F" w14:textId="77777777"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59712F">
        <w:rPr>
          <w:rFonts w:cs="DIN-Regular"/>
          <w:szCs w:val="20"/>
        </w:rPr>
        <w:t xml:space="preserve"> unitholder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w:t>
      </w:r>
      <w:r w:rsidR="0059712F">
        <w:rPr>
          <w:rFonts w:cs="DIN-Regular"/>
          <w:szCs w:val="20"/>
        </w:rPr>
        <w:t>Therefore, t</w:t>
      </w:r>
      <w:r w:rsidRPr="00B73985">
        <w:rPr>
          <w:rFonts w:cs="DIN-Regular"/>
          <w:szCs w:val="20"/>
        </w:rPr>
        <w: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14:paraId="4C67E022" w14:textId="0B8E6909" w:rsidR="007324D3" w:rsidRPr="00B73985" w:rsidRDefault="00CA3EBF" w:rsidP="00B73985">
      <w:pPr>
        <w:autoSpaceDE w:val="0"/>
        <w:autoSpaceDN w:val="0"/>
        <w:adjustRightInd w:val="0"/>
        <w:jc w:val="both"/>
        <w:rPr>
          <w:rFonts w:cs="DIN-Regular"/>
          <w:szCs w:val="20"/>
        </w:rPr>
      </w:pPr>
      <w:r w:rsidRPr="00602D9F">
        <w:rPr>
          <w:rFonts w:cs="DIN-Regular"/>
          <w:szCs w:val="20"/>
        </w:rPr>
        <w:t xml:space="preserve">NTA is calculated using information from the Trust’s latest </w:t>
      </w:r>
      <w:r w:rsidR="00965C3E">
        <w:rPr>
          <w:rFonts w:cs="DIN-Regular"/>
          <w:szCs w:val="20"/>
        </w:rPr>
        <w:t>management</w:t>
      </w:r>
      <w:r w:rsidR="00965C3E" w:rsidRPr="00602D9F">
        <w:rPr>
          <w:rFonts w:cs="DIN-Regular"/>
          <w:szCs w:val="20"/>
        </w:rPr>
        <w:t xml:space="preserve"> </w:t>
      </w:r>
      <w:r w:rsidRPr="00602D9F">
        <w:rPr>
          <w:rFonts w:cs="DIN-Regular"/>
          <w:szCs w:val="20"/>
        </w:rPr>
        <w:t>financial statements and in accordance with the following</w:t>
      </w:r>
      <w:r>
        <w:rPr>
          <w:rFonts w:cs="DIN-Regular"/>
          <w:szCs w:val="20"/>
        </w:rPr>
        <w:t xml:space="preserve"> </w:t>
      </w:r>
      <w:r w:rsidRPr="00602D9F">
        <w:rPr>
          <w:rFonts w:cs="DIN-Regular"/>
          <w:szCs w:val="20"/>
        </w:rPr>
        <w:t>formula:</w:t>
      </w:r>
    </w:p>
    <w:p w14:paraId="480E5E8E" w14:textId="77777777"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
        <w:gridCol w:w="3969"/>
      </w:tblGrid>
      <w:tr w:rsidR="007324D3" w:rsidRPr="00094983" w14:paraId="7361EF95" w14:textId="77777777" w:rsidTr="004022F9">
        <w:trPr>
          <w:trHeight w:val="293"/>
        </w:trPr>
        <w:tc>
          <w:tcPr>
            <w:tcW w:w="817" w:type="dxa"/>
            <w:vMerge w:val="restart"/>
            <w:vAlign w:val="center"/>
          </w:tcPr>
          <w:p w14:paraId="6A4E3E22" w14:textId="77777777"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14:paraId="56B2824E" w14:textId="77777777" w:rsidR="007324D3" w:rsidRPr="00094983" w:rsidRDefault="007324D3" w:rsidP="007324D3">
            <w:pPr>
              <w:spacing w:after="0" w:line="240" w:lineRule="auto"/>
              <w:rPr>
                <w:sz w:val="16"/>
                <w:szCs w:val="16"/>
              </w:rPr>
            </w:pPr>
            <w:r w:rsidRPr="00094983">
              <w:rPr>
                <w:sz w:val="16"/>
                <w:szCs w:val="16"/>
              </w:rPr>
              <w:t>=</w:t>
            </w:r>
          </w:p>
        </w:tc>
        <w:tc>
          <w:tcPr>
            <w:tcW w:w="3969" w:type="dxa"/>
            <w:tcBorders>
              <w:bottom w:val="single" w:sz="4" w:space="0" w:color="002060"/>
            </w:tcBorders>
            <w:vAlign w:val="center"/>
          </w:tcPr>
          <w:p w14:paraId="193DD004" w14:textId="77777777" w:rsidR="007324D3" w:rsidRPr="00094983" w:rsidRDefault="007324D3" w:rsidP="004022F9">
            <w:pPr>
              <w:spacing w:before="20" w:after="20" w:line="240" w:lineRule="auto"/>
              <w:jc w:val="center"/>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14:paraId="789553EB" w14:textId="77777777" w:rsidTr="004022F9">
        <w:trPr>
          <w:trHeight w:val="187"/>
        </w:trPr>
        <w:tc>
          <w:tcPr>
            <w:tcW w:w="817" w:type="dxa"/>
            <w:vMerge/>
          </w:tcPr>
          <w:p w14:paraId="0F3127EF" w14:textId="77777777" w:rsidR="007324D3" w:rsidRPr="00094983" w:rsidRDefault="007324D3" w:rsidP="007324D3">
            <w:pPr>
              <w:spacing w:after="0" w:line="240" w:lineRule="auto"/>
              <w:rPr>
                <w:sz w:val="16"/>
                <w:szCs w:val="16"/>
              </w:rPr>
            </w:pPr>
          </w:p>
        </w:tc>
        <w:tc>
          <w:tcPr>
            <w:tcW w:w="425" w:type="dxa"/>
            <w:vMerge/>
          </w:tcPr>
          <w:p w14:paraId="6BD5B897" w14:textId="77777777" w:rsidR="007324D3" w:rsidRPr="00094983" w:rsidRDefault="007324D3" w:rsidP="007324D3">
            <w:pPr>
              <w:spacing w:after="0" w:line="240" w:lineRule="auto"/>
              <w:rPr>
                <w:sz w:val="16"/>
                <w:szCs w:val="16"/>
              </w:rPr>
            </w:pPr>
          </w:p>
        </w:tc>
        <w:tc>
          <w:tcPr>
            <w:tcW w:w="3969" w:type="dxa"/>
            <w:tcBorders>
              <w:top w:val="single" w:sz="4" w:space="0" w:color="002060"/>
            </w:tcBorders>
            <w:vAlign w:val="center"/>
          </w:tcPr>
          <w:p w14:paraId="01175E9D" w14:textId="77777777" w:rsidR="007324D3" w:rsidRPr="00094983" w:rsidRDefault="007324D3" w:rsidP="004022F9">
            <w:pPr>
              <w:spacing w:before="20" w:after="20" w:line="240" w:lineRule="auto"/>
              <w:jc w:val="center"/>
              <w:rPr>
                <w:sz w:val="16"/>
                <w:szCs w:val="16"/>
              </w:rPr>
            </w:pPr>
            <w:r w:rsidRPr="00094983">
              <w:rPr>
                <w:sz w:val="16"/>
                <w:szCs w:val="16"/>
              </w:rPr>
              <w:t>Number of units on issue</w:t>
            </w:r>
          </w:p>
        </w:tc>
      </w:tr>
    </w:tbl>
    <w:p w14:paraId="13C168FE" w14:textId="77777777" w:rsidR="007324D3" w:rsidRDefault="007324D3" w:rsidP="007324D3">
      <w:pPr>
        <w:rPr>
          <w:szCs w:val="20"/>
        </w:rPr>
      </w:pPr>
    </w:p>
    <w:p w14:paraId="7DE598A2" w14:textId="1E099238" w:rsidR="00F8633D" w:rsidRPr="00E40270" w:rsidRDefault="00990EB6" w:rsidP="00E40270">
      <w:pPr>
        <w:pStyle w:val="Heading1"/>
        <w:numPr>
          <w:ilvl w:val="0"/>
          <w:numId w:val="0"/>
        </w:numPr>
        <w:rPr>
          <w:rFonts w:ascii="Arial" w:hAnsi="Arial" w:cs="DIN-Regular"/>
          <w:b w:val="0"/>
          <w:bCs w:val="0"/>
          <w:color w:val="auto"/>
          <w:kern w:val="0"/>
          <w:sz w:val="20"/>
          <w:lang w:val="en-AU"/>
        </w:rPr>
      </w:pPr>
      <w:r w:rsidRPr="00E40270">
        <w:rPr>
          <w:rFonts w:ascii="Arial" w:hAnsi="Arial" w:cs="DIN-Regular"/>
          <w:b w:val="0"/>
          <w:bCs w:val="0"/>
          <w:color w:val="auto"/>
          <w:kern w:val="0"/>
          <w:sz w:val="20"/>
          <w:lang w:val="en-AU"/>
        </w:rPr>
        <w:lastRenderedPageBreak/>
        <w:t>As at</w:t>
      </w:r>
      <w:r w:rsidR="00B530C1" w:rsidRPr="00E40270">
        <w:rPr>
          <w:rFonts w:ascii="Arial" w:hAnsi="Arial" w:cs="DIN-Regular"/>
          <w:b w:val="0"/>
          <w:bCs w:val="0"/>
          <w:color w:val="auto"/>
          <w:kern w:val="0"/>
          <w:sz w:val="20"/>
          <w:lang w:val="en-AU"/>
        </w:rPr>
        <w:t xml:space="preserve"> </w:t>
      </w:r>
      <w:r w:rsidR="00ED59E0" w:rsidRPr="00ED59E0">
        <w:rPr>
          <w:rFonts w:ascii="Arial" w:hAnsi="Arial" w:cs="DIN-Regular"/>
          <w:b w:val="0"/>
          <w:bCs w:val="0"/>
          <w:color w:val="auto"/>
          <w:kern w:val="0"/>
          <w:sz w:val="20"/>
          <w:lang w:val="en-AU"/>
        </w:rPr>
        <w:t xml:space="preserve">30 </w:t>
      </w:r>
      <w:r w:rsidR="005B703E">
        <w:rPr>
          <w:rFonts w:ascii="Arial" w:hAnsi="Arial" w:cs="DIN-Regular"/>
          <w:b w:val="0"/>
          <w:bCs w:val="0"/>
          <w:color w:val="auto"/>
          <w:kern w:val="0"/>
          <w:sz w:val="20"/>
          <w:lang w:val="en-AU"/>
        </w:rPr>
        <w:t>September</w:t>
      </w:r>
      <w:r w:rsidR="005B703E" w:rsidRPr="00ED59E0">
        <w:rPr>
          <w:rFonts w:ascii="Arial" w:hAnsi="Arial" w:cs="DIN-Regular"/>
          <w:b w:val="0"/>
          <w:bCs w:val="0"/>
          <w:color w:val="auto"/>
          <w:kern w:val="0"/>
          <w:sz w:val="20"/>
          <w:lang w:val="en-AU"/>
        </w:rPr>
        <w:t xml:space="preserve"> </w:t>
      </w:r>
      <w:r w:rsidR="00ED59E0" w:rsidRPr="00ED59E0">
        <w:rPr>
          <w:rFonts w:ascii="Arial" w:hAnsi="Arial" w:cs="DIN-Regular"/>
          <w:b w:val="0"/>
          <w:bCs w:val="0"/>
          <w:color w:val="auto"/>
          <w:kern w:val="0"/>
          <w:sz w:val="20"/>
          <w:lang w:val="en-AU"/>
        </w:rPr>
        <w:t>2016</w:t>
      </w:r>
      <w:r w:rsidRPr="00E40270">
        <w:rPr>
          <w:rFonts w:ascii="Arial" w:hAnsi="Arial" w:cs="DIN-Regular"/>
          <w:b w:val="0"/>
          <w:bCs w:val="0"/>
          <w:color w:val="auto"/>
          <w:kern w:val="0"/>
          <w:sz w:val="20"/>
          <w:lang w:val="en-AU"/>
        </w:rPr>
        <w:t>, the Trust ha</w:t>
      </w:r>
      <w:r w:rsidR="00E24414" w:rsidRPr="00E40270">
        <w:rPr>
          <w:rFonts w:ascii="Arial" w:hAnsi="Arial" w:cs="DIN-Regular"/>
          <w:b w:val="0"/>
          <w:bCs w:val="0"/>
          <w:color w:val="auto"/>
          <w:kern w:val="0"/>
          <w:sz w:val="20"/>
          <w:lang w:val="en-AU"/>
        </w:rPr>
        <w:t>d</w:t>
      </w:r>
      <w:r w:rsidRPr="00E40270">
        <w:rPr>
          <w:rFonts w:ascii="Arial" w:hAnsi="Arial" w:cs="DIN-Regular"/>
          <w:b w:val="0"/>
          <w:bCs w:val="0"/>
          <w:color w:val="auto"/>
          <w:kern w:val="0"/>
          <w:sz w:val="20"/>
          <w:lang w:val="en-AU"/>
        </w:rPr>
        <w:t xml:space="preserve"> NTA per unit of </w:t>
      </w:r>
      <w:r w:rsidR="000B0801" w:rsidRPr="00E40270">
        <w:rPr>
          <w:rFonts w:ascii="Arial" w:hAnsi="Arial" w:cs="DIN-Regular"/>
          <w:b w:val="0"/>
          <w:bCs w:val="0"/>
          <w:color w:val="auto"/>
          <w:kern w:val="0"/>
          <w:sz w:val="20"/>
          <w:lang w:val="en-AU"/>
        </w:rPr>
        <w:t>$</w:t>
      </w:r>
      <w:r w:rsidR="00400057" w:rsidRPr="00E40270">
        <w:rPr>
          <w:rFonts w:ascii="Arial" w:hAnsi="Arial" w:cs="DIN-Regular"/>
          <w:b w:val="0"/>
          <w:bCs w:val="0"/>
          <w:color w:val="auto"/>
          <w:kern w:val="0"/>
          <w:sz w:val="20"/>
          <w:lang w:val="en-AU"/>
        </w:rPr>
        <w:t>1.</w:t>
      </w:r>
      <w:r w:rsidR="005B703E">
        <w:rPr>
          <w:rFonts w:ascii="Arial" w:hAnsi="Arial" w:cs="DIN-Regular"/>
          <w:b w:val="0"/>
          <w:bCs w:val="0"/>
          <w:color w:val="auto"/>
          <w:kern w:val="0"/>
          <w:sz w:val="20"/>
          <w:lang w:val="en-AU"/>
        </w:rPr>
        <w:t>23</w:t>
      </w:r>
      <w:r w:rsidR="005B703E" w:rsidRPr="00E40270" w:rsidDel="00B530C1">
        <w:rPr>
          <w:rFonts w:ascii="Arial" w:hAnsi="Arial" w:cs="DIN-Regular"/>
          <w:b w:val="0"/>
          <w:bCs w:val="0"/>
          <w:color w:val="auto"/>
          <w:kern w:val="0"/>
          <w:sz w:val="20"/>
          <w:lang w:val="en-AU"/>
        </w:rPr>
        <w:t xml:space="preserve"> </w:t>
      </w:r>
      <w:r w:rsidRPr="00E40270">
        <w:rPr>
          <w:rFonts w:ascii="Arial" w:hAnsi="Arial" w:cs="DIN-Regular"/>
          <w:b w:val="0"/>
          <w:bCs w:val="0"/>
          <w:color w:val="auto"/>
          <w:kern w:val="0"/>
          <w:sz w:val="20"/>
          <w:lang w:val="en-AU"/>
        </w:rPr>
        <w:t>(before tax)</w:t>
      </w:r>
      <w:r w:rsidR="00400057" w:rsidRPr="00E40270">
        <w:rPr>
          <w:rFonts w:ascii="Arial" w:hAnsi="Arial" w:cs="DIN-Regular"/>
          <w:b w:val="0"/>
          <w:bCs w:val="0"/>
          <w:color w:val="auto"/>
          <w:kern w:val="0"/>
          <w:sz w:val="20"/>
          <w:lang w:val="en-AU"/>
        </w:rPr>
        <w:t xml:space="preserve"> including interest rate swaps</w:t>
      </w:r>
      <w:r w:rsidR="00F8633D" w:rsidRPr="00D53F88">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and $1.</w:t>
      </w:r>
      <w:r w:rsidR="004B200B">
        <w:rPr>
          <w:rFonts w:ascii="Arial" w:hAnsi="Arial" w:cs="DIN-Regular"/>
          <w:b w:val="0"/>
          <w:bCs w:val="0"/>
          <w:color w:val="auto"/>
          <w:kern w:val="0"/>
          <w:sz w:val="20"/>
          <w:lang w:val="en-AU"/>
        </w:rPr>
        <w:t>2</w:t>
      </w:r>
      <w:r w:rsidR="005B703E">
        <w:rPr>
          <w:rFonts w:ascii="Arial" w:hAnsi="Arial" w:cs="DIN-Regular"/>
          <w:b w:val="0"/>
          <w:bCs w:val="0"/>
          <w:color w:val="auto"/>
          <w:kern w:val="0"/>
          <w:sz w:val="20"/>
          <w:lang w:val="en-AU"/>
        </w:rPr>
        <w:t>5</w:t>
      </w:r>
      <w:r w:rsidR="005B703E" w:rsidRPr="00E40270">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excluding interest rate swaps</w:t>
      </w:r>
      <w:r w:rsidRPr="00E40270">
        <w:rPr>
          <w:rFonts w:ascii="Arial" w:hAnsi="Arial" w:cs="DIN-Regular"/>
          <w:b w:val="0"/>
          <w:bCs w:val="0"/>
          <w:color w:val="auto"/>
          <w:kern w:val="0"/>
          <w:sz w:val="20"/>
          <w:lang w:val="en-AU"/>
        </w:rPr>
        <w:t>.</w:t>
      </w:r>
      <w:r w:rsidR="00DD4F73" w:rsidRPr="00E40270">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 xml:space="preserve">This is an increase of </w:t>
      </w:r>
      <w:r w:rsidR="005B703E">
        <w:rPr>
          <w:rFonts w:ascii="Arial" w:hAnsi="Arial" w:cs="DIN-Regular"/>
          <w:b w:val="0"/>
          <w:bCs w:val="0"/>
          <w:color w:val="auto"/>
          <w:kern w:val="0"/>
          <w:sz w:val="20"/>
          <w:lang w:val="en-AU"/>
        </w:rPr>
        <w:t>6</w:t>
      </w:r>
      <w:r w:rsidR="00400057" w:rsidRPr="00E40270">
        <w:rPr>
          <w:rFonts w:ascii="Arial" w:hAnsi="Arial" w:cs="DIN-Regular"/>
          <w:b w:val="0"/>
          <w:bCs w:val="0"/>
          <w:color w:val="auto"/>
          <w:kern w:val="0"/>
          <w:sz w:val="20"/>
          <w:lang w:val="en-AU"/>
        </w:rPr>
        <w:t xml:space="preserve">% from June </w:t>
      </w:r>
      <w:r w:rsidR="005B703E" w:rsidRPr="00E40270">
        <w:rPr>
          <w:rFonts w:ascii="Arial" w:hAnsi="Arial" w:cs="DIN-Regular"/>
          <w:b w:val="0"/>
          <w:bCs w:val="0"/>
          <w:color w:val="auto"/>
          <w:kern w:val="0"/>
          <w:sz w:val="20"/>
          <w:lang w:val="en-AU"/>
        </w:rPr>
        <w:t>201</w:t>
      </w:r>
      <w:r w:rsidR="005B703E">
        <w:rPr>
          <w:rFonts w:ascii="Arial" w:hAnsi="Arial" w:cs="DIN-Regular"/>
          <w:b w:val="0"/>
          <w:bCs w:val="0"/>
          <w:color w:val="auto"/>
          <w:kern w:val="0"/>
          <w:sz w:val="20"/>
          <w:lang w:val="en-AU"/>
        </w:rPr>
        <w:t>6</w:t>
      </w:r>
      <w:r w:rsidR="005B703E" w:rsidRPr="00E40270">
        <w:rPr>
          <w:rFonts w:ascii="Arial" w:hAnsi="Arial" w:cs="DIN-Regular"/>
          <w:b w:val="0"/>
          <w:bCs w:val="0"/>
          <w:color w:val="auto"/>
          <w:kern w:val="0"/>
          <w:sz w:val="20"/>
          <w:lang w:val="en-AU"/>
        </w:rPr>
        <w:t xml:space="preserve"> </w:t>
      </w:r>
      <w:r w:rsidR="00400057" w:rsidRPr="00E40270">
        <w:rPr>
          <w:rFonts w:ascii="Arial" w:hAnsi="Arial" w:cs="DIN-Regular"/>
          <w:b w:val="0"/>
          <w:bCs w:val="0"/>
          <w:color w:val="auto"/>
          <w:kern w:val="0"/>
          <w:sz w:val="20"/>
          <w:lang w:val="en-AU"/>
        </w:rPr>
        <w:t>NTA of $</w:t>
      </w:r>
      <w:r w:rsidR="005B703E">
        <w:rPr>
          <w:rFonts w:ascii="Arial" w:hAnsi="Arial" w:cs="DIN-Regular"/>
          <w:b w:val="0"/>
          <w:bCs w:val="0"/>
          <w:color w:val="auto"/>
          <w:kern w:val="0"/>
          <w:sz w:val="20"/>
          <w:lang w:val="en-AU"/>
        </w:rPr>
        <w:t>1.16</w:t>
      </w:r>
      <w:r w:rsidR="00400057" w:rsidRPr="00E40270">
        <w:rPr>
          <w:rFonts w:ascii="Arial" w:hAnsi="Arial" w:cs="DIN-Regular"/>
          <w:b w:val="0"/>
          <w:bCs w:val="0"/>
          <w:color w:val="auto"/>
          <w:kern w:val="0"/>
          <w:sz w:val="20"/>
          <w:lang w:val="en-AU"/>
        </w:rPr>
        <w:t xml:space="preserve">. </w:t>
      </w:r>
    </w:p>
    <w:p w14:paraId="6C1D802D" w14:textId="77777777" w:rsidR="00D56EA7" w:rsidRDefault="004636AD">
      <w:pPr>
        <w:pStyle w:val="Heading1"/>
      </w:pPr>
      <w:r>
        <w:t>Valuation Policy</w:t>
      </w:r>
    </w:p>
    <w:p w14:paraId="42CB2BF8" w14:textId="703B28DC" w:rsidR="00990EB6" w:rsidRPr="00B73985" w:rsidRDefault="00CF4156" w:rsidP="00B73985">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990EB6" w:rsidRPr="00B73985">
        <w:rPr>
          <w:rFonts w:cs="DIN-Regular"/>
          <w:szCs w:val="20"/>
        </w:rPr>
        <w:t xml:space="preserve">has, and complies with, a valuation policy for the </w:t>
      </w:r>
      <w:r w:rsidR="00BE5229">
        <w:rPr>
          <w:rFonts w:cs="DIN-Regular"/>
          <w:szCs w:val="20"/>
        </w:rPr>
        <w:t>Trust</w:t>
      </w:r>
      <w:r w:rsidR="00990EB6" w:rsidRPr="00B73985">
        <w:rPr>
          <w:rFonts w:cs="DIN-Regular"/>
          <w:szCs w:val="20"/>
        </w:rPr>
        <w:t>. Amongst other things</w:t>
      </w:r>
      <w:r w:rsidR="00057605">
        <w:rPr>
          <w:rFonts w:cs="DIN-Regular"/>
          <w:szCs w:val="20"/>
        </w:rPr>
        <w:t>,</w:t>
      </w:r>
      <w:r w:rsidR="00990EB6" w:rsidRPr="00B73985">
        <w:rPr>
          <w:rFonts w:cs="DIN-Regular"/>
          <w:szCs w:val="20"/>
        </w:rPr>
        <w:t xml:space="preserve"> the policy provides that:</w:t>
      </w:r>
    </w:p>
    <w:p w14:paraId="0762990C" w14:textId="6FC3067A" w:rsidR="00990EB6" w:rsidRPr="00DD4F73" w:rsidRDefault="00057605" w:rsidP="00C62B3C">
      <w:pPr>
        <w:pStyle w:val="CMWAlphaList"/>
        <w:numPr>
          <w:ilvl w:val="0"/>
          <w:numId w:val="38"/>
        </w:numPr>
        <w:jc w:val="both"/>
      </w:pPr>
      <w:r>
        <w:t>t</w:t>
      </w:r>
      <w:r w:rsidRPr="00DD4F73">
        <w:t xml:space="preserve">he </w:t>
      </w:r>
      <w:r w:rsidR="00990EB6" w:rsidRPr="00DD4F73">
        <w:t>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r w:rsidR="00F7038B">
        <w:t>is expected to</w:t>
      </w:r>
      <w:r w:rsidR="00F7038B" w:rsidRPr="00DD4F73">
        <w:t xml:space="preserve"> </w:t>
      </w:r>
      <w:r w:rsidR="00990EB6" w:rsidRPr="00DD4F73">
        <w:t xml:space="preserve">occur </w:t>
      </w:r>
      <w:r w:rsidR="00F7038B">
        <w:t xml:space="preserve">in </w:t>
      </w:r>
      <w:r w:rsidR="004B664A">
        <w:t xml:space="preserve">September </w:t>
      </w:r>
      <w:r w:rsidR="00400057">
        <w:t>201</w:t>
      </w:r>
      <w:r w:rsidR="00BE5A80">
        <w:t>7</w:t>
      </w:r>
      <w:r>
        <w:t xml:space="preserve">. </w:t>
      </w:r>
      <w:r w:rsidR="00E62FB8">
        <w:t xml:space="preserve">The next independent valuation of the </w:t>
      </w:r>
      <w:r w:rsidR="00173302">
        <w:t xml:space="preserve">Rand Distribution Centre </w:t>
      </w:r>
      <w:r w:rsidR="00E62FB8">
        <w:t xml:space="preserve">is expected to be </w:t>
      </w:r>
      <w:r w:rsidR="00F7038B">
        <w:t xml:space="preserve">in </w:t>
      </w:r>
      <w:r w:rsidR="00BE5A80">
        <w:t xml:space="preserve">March </w:t>
      </w:r>
      <w:r w:rsidR="00255192">
        <w:t>201</w:t>
      </w:r>
      <w:r w:rsidR="00E62FB8">
        <w:t>7</w:t>
      </w:r>
      <w:r w:rsidR="00990EB6" w:rsidRPr="00DD4F73">
        <w:t>;</w:t>
      </w:r>
    </w:p>
    <w:p w14:paraId="6C960D91" w14:textId="27DC67C3" w:rsidR="00990EB6" w:rsidRPr="00DD4F73" w:rsidRDefault="00057605" w:rsidP="00C62B3C">
      <w:pPr>
        <w:pStyle w:val="CMWAlphaList"/>
        <w:jc w:val="both"/>
      </w:pPr>
      <w:r>
        <w:t>a</w:t>
      </w:r>
      <w:r w:rsidRPr="00DD4F73">
        <w:t xml:space="preserve">ll </w:t>
      </w:r>
      <w:r w:rsidR="00990EB6" w:rsidRPr="00DD4F73">
        <w:t xml:space="preserve">valuations are to be carried out by appropriately qualified </w:t>
      </w:r>
      <w:proofErr w:type="spellStart"/>
      <w:r w:rsidR="00990EB6" w:rsidRPr="00DD4F73">
        <w:t>valuers</w:t>
      </w:r>
      <w:proofErr w:type="spellEnd"/>
      <w:r w:rsidR="00990EB6" w:rsidRPr="00DD4F73">
        <w:t xml:space="preserve">, independent of </w:t>
      </w:r>
      <w:r w:rsidR="00CF4156">
        <w:rPr>
          <w:rFonts w:eastAsiaTheme="minorHAnsi"/>
        </w:rPr>
        <w:t>CFM</w:t>
      </w:r>
      <w:r w:rsidR="00990EB6" w:rsidRPr="00DD4F73">
        <w:t>, who are</w:t>
      </w:r>
      <w:r w:rsidR="00DD4F73">
        <w:t xml:space="preserve"> </w:t>
      </w:r>
      <w:r w:rsidR="00990EB6" w:rsidRPr="00DD4F73">
        <w:t xml:space="preserve">registered and have a minimum of </w:t>
      </w:r>
      <w:r>
        <w:t>five</w:t>
      </w:r>
      <w:r w:rsidRPr="00DD4F73">
        <w:t xml:space="preserve"> </w:t>
      </w:r>
      <w:r w:rsidR="00990EB6" w:rsidRPr="00DD4F73">
        <w:t>years relevant experience;</w:t>
      </w:r>
    </w:p>
    <w:p w14:paraId="539353F5" w14:textId="77777777" w:rsidR="00990EB6" w:rsidRPr="00DD4F73" w:rsidRDefault="00057605" w:rsidP="00C62B3C">
      <w:pPr>
        <w:pStyle w:val="CMWAlphaList"/>
        <w:jc w:val="both"/>
      </w:pPr>
      <w:proofErr w:type="spellStart"/>
      <w:r>
        <w:t>v</w:t>
      </w:r>
      <w:r w:rsidRPr="00DD4F73">
        <w:t>aluers</w:t>
      </w:r>
      <w:proofErr w:type="spellEnd"/>
      <w:r w:rsidRPr="00DD4F73">
        <w:t xml:space="preserve"> </w:t>
      </w:r>
      <w:r w:rsidR="00990EB6" w:rsidRPr="00DD4F73">
        <w:t>are to be instructed to undertake their valuation in accordance with industry standards and to outline</w:t>
      </w:r>
      <w:r w:rsidR="00DD4F73">
        <w:t xml:space="preserve"> </w:t>
      </w:r>
      <w:r w:rsidR="00990EB6" w:rsidRPr="00DD4F73">
        <w:t>their valuation methodology within the valuation report; and</w:t>
      </w:r>
    </w:p>
    <w:p w14:paraId="5608C794" w14:textId="77777777" w:rsidR="00836264" w:rsidRDefault="00057605" w:rsidP="00C62B3C">
      <w:pPr>
        <w:pStyle w:val="CMWAlphaList"/>
        <w:spacing w:after="120"/>
        <w:jc w:val="both"/>
      </w:pPr>
      <w:r>
        <w:t xml:space="preserve">the </w:t>
      </w:r>
      <w:r w:rsidR="00604B3E">
        <w:t xml:space="preserve">same </w:t>
      </w:r>
      <w:proofErr w:type="spellStart"/>
      <w:r w:rsidR="00604B3E">
        <w:t>valuers</w:t>
      </w:r>
      <w:proofErr w:type="spellEnd"/>
      <w:r w:rsidR="00604B3E" w:rsidRPr="00DD4F73">
        <w:t xml:space="preserve"> </w:t>
      </w:r>
      <w:r w:rsidR="00990EB6" w:rsidRPr="00DD4F73">
        <w:t xml:space="preserve">will not undertake more than </w:t>
      </w:r>
      <w:r>
        <w:t>two</w:t>
      </w:r>
      <w:r w:rsidRPr="00DD4F73">
        <w:t xml:space="preserve"> </w:t>
      </w:r>
      <w:r w:rsidR="00990EB6" w:rsidRPr="00DD4F73">
        <w:t xml:space="preserve">consecutive full valuations of the </w:t>
      </w:r>
      <w:r w:rsidR="00947D83">
        <w:t>Propert</w:t>
      </w:r>
      <w:r w:rsidR="00E978BA">
        <w:t>ies</w:t>
      </w:r>
      <w:r w:rsidR="00990EB6" w:rsidRPr="00DD4F73">
        <w:t>.</w:t>
      </w:r>
    </w:p>
    <w:p w14:paraId="29DD4FFC" w14:textId="153ECD5E" w:rsidR="00990EB6" w:rsidRPr="00B73985" w:rsidRDefault="00CF4156" w:rsidP="00B73985">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990EB6" w:rsidRPr="00B73985">
        <w:rPr>
          <w:rFonts w:cs="DIN-Regular"/>
          <w:szCs w:val="20"/>
        </w:rPr>
        <w:t xml:space="preserve">believes that using independent </w:t>
      </w:r>
      <w:proofErr w:type="spellStart"/>
      <w:r w:rsidR="00990EB6" w:rsidRPr="00B73985">
        <w:rPr>
          <w:rFonts w:cs="DIN-Regular"/>
          <w:szCs w:val="20"/>
        </w:rPr>
        <w:t>valuers</w:t>
      </w:r>
      <w:proofErr w:type="spellEnd"/>
      <w:r w:rsidR="00990EB6" w:rsidRPr="00B73985">
        <w:rPr>
          <w:rFonts w:cs="DIN-Regular"/>
          <w:szCs w:val="20"/>
        </w:rPr>
        <w:t xml:space="preserve"> (with </w:t>
      </w:r>
      <w:proofErr w:type="spellStart"/>
      <w:r w:rsidR="00990EB6" w:rsidRPr="00B73985">
        <w:rPr>
          <w:rFonts w:cs="DIN-Regular"/>
          <w:szCs w:val="20"/>
        </w:rPr>
        <w:t>valuers</w:t>
      </w:r>
      <w:proofErr w:type="spellEnd"/>
      <w:r w:rsidR="00990EB6" w:rsidRPr="00B73985">
        <w:rPr>
          <w:rFonts w:cs="DIN-Regular"/>
          <w:szCs w:val="20"/>
        </w:rPr>
        <w:t xml:space="preserve"> being required to confirm their independence as part of their</w:t>
      </w:r>
      <w:r w:rsidR="00604B3E">
        <w:rPr>
          <w:rFonts w:cs="DIN-Regular"/>
          <w:szCs w:val="20"/>
        </w:rPr>
        <w:t xml:space="preserve"> </w:t>
      </w:r>
      <w:r w:rsidR="00990EB6" w:rsidRPr="00B73985">
        <w:rPr>
          <w:rFonts w:cs="DIN-Regular"/>
          <w:szCs w:val="20"/>
        </w:rPr>
        <w:t xml:space="preserve">valuation report) and ensuring that the </w:t>
      </w:r>
      <w:proofErr w:type="spellStart"/>
      <w:r w:rsidR="00990EB6" w:rsidRPr="00B73985">
        <w:rPr>
          <w:rFonts w:cs="DIN-Regular"/>
          <w:szCs w:val="20"/>
        </w:rPr>
        <w:t>valuers</w:t>
      </w:r>
      <w:proofErr w:type="spellEnd"/>
      <w:r w:rsidR="00990EB6" w:rsidRPr="00B73985">
        <w:rPr>
          <w:rFonts w:cs="DIN-Regular"/>
          <w:szCs w:val="20"/>
        </w:rPr>
        <w:t xml:space="preserve"> used in relation to any one property are rotated in accordance with the valuation</w:t>
      </w:r>
      <w:r w:rsidR="00DD4F73">
        <w:rPr>
          <w:rFonts w:cs="DIN-Regular"/>
          <w:szCs w:val="20"/>
        </w:rPr>
        <w:t xml:space="preserve"> </w:t>
      </w:r>
      <w:r w:rsidR="00990EB6" w:rsidRPr="00B73985">
        <w:rPr>
          <w:rFonts w:cs="DIN-Regular"/>
          <w:szCs w:val="20"/>
        </w:rPr>
        <w:t>policy</w:t>
      </w:r>
      <w:r w:rsidR="005D5918">
        <w:rPr>
          <w:rFonts w:cs="DIN-Regular"/>
          <w:szCs w:val="20"/>
        </w:rPr>
        <w:t>,</w:t>
      </w:r>
      <w:r w:rsidR="00990EB6" w:rsidRPr="00B73985">
        <w:rPr>
          <w:rFonts w:cs="DIN-Regular"/>
          <w:szCs w:val="20"/>
        </w:rPr>
        <w:t xml:space="preserve"> will best address any potential conflicts of interest that might arise. However, relevant staff are also aware of </w:t>
      </w:r>
      <w:r>
        <w:rPr>
          <w:rFonts w:eastAsiaTheme="minorHAnsi"/>
        </w:rPr>
        <w:t>CFM</w:t>
      </w:r>
      <w:r w:rsidR="00990EB6" w:rsidRPr="00B73985">
        <w:rPr>
          <w:rFonts w:cs="DIN-Regular"/>
          <w:szCs w:val="20"/>
        </w:rPr>
        <w:t>’s</w:t>
      </w:r>
      <w:r w:rsidR="00DD4F73">
        <w:rPr>
          <w:rFonts w:cs="DIN-Regular"/>
          <w:szCs w:val="20"/>
        </w:rPr>
        <w:t xml:space="preserve"> </w:t>
      </w:r>
      <w:r w:rsidR="00990EB6"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00990EB6" w:rsidRPr="00B73985">
        <w:rPr>
          <w:rFonts w:cs="DIN-Regular"/>
          <w:szCs w:val="20"/>
        </w:rPr>
        <w:t>aware so that the conflicts can be appropriately managed and/or monitored.</w:t>
      </w:r>
    </w:p>
    <w:p w14:paraId="2A523A82" w14:textId="77777777" w:rsidR="00143D0B"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can obtain a copy of the valuation policy by calling Cromwell Investor Services on 1300 276 693.</w:t>
      </w:r>
    </w:p>
    <w:p w14:paraId="2F9B5D67" w14:textId="77777777" w:rsidR="009C6F1A" w:rsidRDefault="00A0488A" w:rsidP="00605D1C">
      <w:pPr>
        <w:pStyle w:val="Heading1"/>
      </w:pPr>
      <w:r>
        <w:t>Trust</w:t>
      </w:r>
      <w:r w:rsidR="009C6F1A" w:rsidRPr="00181CFA">
        <w:t xml:space="preserve"> Borrowing</w:t>
      </w:r>
    </w:p>
    <w:p w14:paraId="765AF987" w14:textId="77777777" w:rsidR="001A1029" w:rsidRPr="00181CFA" w:rsidRDefault="001A1029" w:rsidP="001A1029">
      <w:pPr>
        <w:pStyle w:val="Heading2"/>
      </w:pPr>
      <w:r>
        <w:t>Borrowing Policy</w:t>
      </w:r>
    </w:p>
    <w:p w14:paraId="1B23AA54" w14:textId="2559580E" w:rsidR="00990EB6" w:rsidRPr="00B73985" w:rsidRDefault="00CF4156" w:rsidP="00B73985">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990EB6" w:rsidRPr="00B73985">
        <w:rPr>
          <w:rFonts w:cs="DIN-Regular"/>
          <w:szCs w:val="20"/>
        </w:rPr>
        <w:t>has, and complies with, a written policy that governs the level and nature of the Trust’s borrowings and, in particular,</w:t>
      </w:r>
      <w:r w:rsidR="00DD4F73">
        <w:rPr>
          <w:rFonts w:cs="DIN-Regular"/>
          <w:szCs w:val="20"/>
        </w:rPr>
        <w:t xml:space="preserve"> </w:t>
      </w:r>
      <w:r w:rsidR="00990EB6" w:rsidRPr="00B73985">
        <w:rPr>
          <w:rFonts w:cs="DIN-Regular"/>
          <w:szCs w:val="20"/>
        </w:rPr>
        <w:t>the level and nature of the Trust’s gearing and the level and nature of its interest cover.</w:t>
      </w:r>
    </w:p>
    <w:p w14:paraId="424A1CC7" w14:textId="6F93E0CF"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 xml:space="preserve">the </w:t>
      </w:r>
      <w:r w:rsidR="00CF4156">
        <w:rPr>
          <w:rFonts w:eastAsiaTheme="minorHAnsi"/>
        </w:rPr>
        <w:t>CFM</w:t>
      </w:r>
      <w:r w:rsidR="00CF4156" w:rsidRPr="00A809A9">
        <w:rPr>
          <w:rFonts w:eastAsiaTheme="minorHAnsi"/>
        </w:rPr>
        <w:t xml:space="preserve"> </w:t>
      </w:r>
      <w:r w:rsidRPr="00B73985">
        <w:rPr>
          <w:rFonts w:cs="DIN-Regular"/>
          <w:szCs w:val="20"/>
        </w:rPr>
        <w:t xml:space="preserve">Loan) divided by the </w:t>
      </w:r>
      <w:r w:rsidR="002979C5">
        <w:rPr>
          <w:rFonts w:cs="DIN-Regular"/>
          <w:szCs w:val="20"/>
        </w:rPr>
        <w:t>“</w:t>
      </w:r>
      <w:r w:rsidRPr="00B73985">
        <w:rPr>
          <w:rFonts w:cs="DIN-Regular"/>
          <w:szCs w:val="20"/>
        </w:rPr>
        <w:t>as if complete</w:t>
      </w:r>
      <w:r w:rsidR="002979C5">
        <w:rPr>
          <w:rFonts w:cs="DIN-Regular"/>
          <w:szCs w:val="20"/>
        </w:rPr>
        <w:t>”</w:t>
      </w:r>
      <w:r w:rsidRPr="00B73985">
        <w:rPr>
          <w:rFonts w:cs="DIN-Regular"/>
          <w:szCs w:val="20"/>
        </w:rPr>
        <w:t xml:space="preserve"> valuation of the Propert</w:t>
      </w:r>
      <w:r w:rsidR="00E978BA">
        <w:rPr>
          <w:rFonts w:cs="DIN-Regular"/>
          <w:szCs w:val="20"/>
        </w:rPr>
        <w:t>ies</w:t>
      </w:r>
      <w:r w:rsidRPr="00B73985">
        <w:rPr>
          <w:rFonts w:cs="DIN-Regular"/>
          <w:szCs w:val="20"/>
        </w:rPr>
        <w:t>.</w:t>
      </w:r>
    </w:p>
    <w:p w14:paraId="303EC3FA" w14:textId="1724493B" w:rsidR="00990EB6" w:rsidRPr="00B73985" w:rsidRDefault="00EF103A" w:rsidP="00B73985">
      <w:pPr>
        <w:autoSpaceDE w:val="0"/>
        <w:autoSpaceDN w:val="0"/>
        <w:adjustRightInd w:val="0"/>
        <w:jc w:val="both"/>
        <w:rPr>
          <w:rFonts w:cs="DIN-Regular"/>
          <w:szCs w:val="20"/>
        </w:rPr>
      </w:pPr>
      <w:r>
        <w:rPr>
          <w:rFonts w:cs="DIN-Regular"/>
          <w:szCs w:val="20"/>
        </w:rPr>
        <w:t xml:space="preserve">Further, </w:t>
      </w:r>
      <w:r w:rsidR="00CF4156">
        <w:rPr>
          <w:rFonts w:eastAsiaTheme="minorHAnsi"/>
        </w:rPr>
        <w:t>CFM</w:t>
      </w:r>
      <w:r w:rsidR="00CF4156" w:rsidRPr="00A809A9">
        <w:rPr>
          <w:rFonts w:eastAsiaTheme="minorHAnsi"/>
        </w:rPr>
        <w:t xml:space="preserve"> </w:t>
      </w:r>
      <w:r w:rsidR="00990EB6" w:rsidRPr="00B73985">
        <w:rPr>
          <w:rFonts w:cs="DIN-Regular"/>
          <w:szCs w:val="20"/>
        </w:rPr>
        <w:t xml:space="preserve">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14:paraId="6A17D399" w14:textId="00A20183" w:rsidR="00054DB8" w:rsidRPr="00054DB8" w:rsidRDefault="00054DB8" w:rsidP="004022F9">
      <w:pPr>
        <w:pStyle w:val="ICHBody9pt"/>
        <w:jc w:val="both"/>
      </w:pPr>
      <w:r>
        <w:t xml:space="preserve">There are risks involved in investing in a geared Trust as gearing magnifies profits, losses, capital gains and capital losses. See “Borrowing Risk” in Section 4.3.1 of the PDS for further information. </w:t>
      </w:r>
    </w:p>
    <w:p w14:paraId="281E14FC" w14:textId="77777777" w:rsidR="009C6F1A" w:rsidRPr="00181CFA" w:rsidRDefault="009C6F1A" w:rsidP="00605D1C">
      <w:pPr>
        <w:pStyle w:val="Heading2"/>
      </w:pPr>
      <w:r w:rsidRPr="00181CFA">
        <w:t>Borrowing Facilities</w:t>
      </w:r>
    </w:p>
    <w:p w14:paraId="2517BDB9" w14:textId="77777777" w:rsidR="00990EB6" w:rsidRDefault="00990EB6" w:rsidP="00B73985">
      <w:pPr>
        <w:autoSpaceDE w:val="0"/>
        <w:autoSpaceDN w:val="0"/>
        <w:adjustRightInd w:val="0"/>
        <w:jc w:val="both"/>
        <w:rPr>
          <w:rFonts w:cs="DIN-Regular"/>
          <w:szCs w:val="20"/>
        </w:rPr>
      </w:pPr>
      <w:r w:rsidRPr="00B73985">
        <w:rPr>
          <w:rFonts w:cs="DIN-Regular"/>
          <w:szCs w:val="20"/>
        </w:rPr>
        <w:t xml:space="preserve">Most property funds use a combination of borrowings and </w:t>
      </w:r>
      <w:r w:rsidR="00053636">
        <w:rPr>
          <w:rFonts w:cs="DIN-Regular"/>
          <w:szCs w:val="20"/>
        </w:rPr>
        <w:t>unitholders</w:t>
      </w:r>
      <w:r w:rsidR="00053636" w:rsidRPr="00B73985">
        <w:rPr>
          <w:rFonts w:cs="DIN-Regular"/>
          <w:szCs w:val="20"/>
        </w:rPr>
        <w:t xml:space="preserve">’ </w:t>
      </w:r>
      <w:r w:rsidRPr="00B73985">
        <w:rPr>
          <w:rFonts w:cs="DIN-Regular"/>
          <w:szCs w:val="20"/>
        </w:rPr>
        <w:t>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gain when property values are rising. However, they can 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14:paraId="1AD62233" w14:textId="661A22CA" w:rsidR="00990EB6" w:rsidRPr="00B73985" w:rsidRDefault="005904B8" w:rsidP="00B73985">
      <w:pPr>
        <w:autoSpaceDE w:val="0"/>
        <w:autoSpaceDN w:val="0"/>
        <w:adjustRightInd w:val="0"/>
        <w:jc w:val="both"/>
        <w:rPr>
          <w:rFonts w:cs="DIN-Regular"/>
          <w:szCs w:val="20"/>
        </w:rPr>
      </w:pPr>
      <w:r w:rsidRPr="005904B8">
        <w:rPr>
          <w:rFonts w:cs="DIN-Regular"/>
          <w:szCs w:val="20"/>
        </w:rPr>
        <w:t xml:space="preserve">In August 2015 the Trust entered into a new debt facility to finance the construction costs for the investment property located at 11-13 Robinson Street, VIC. </w:t>
      </w:r>
      <w:r w:rsidR="0073284E">
        <w:rPr>
          <w:rFonts w:cs="DIN-Regular"/>
          <w:szCs w:val="20"/>
        </w:rPr>
        <w:t xml:space="preserve">The loan facility for $41,000,000 has been provided by one of Australia’s major banks (“Bank Loan”). </w:t>
      </w:r>
      <w:r w:rsidRPr="005904B8">
        <w:rPr>
          <w:rFonts w:cs="DIN-Regular"/>
          <w:szCs w:val="20"/>
        </w:rPr>
        <w:t xml:space="preserve">The facility was drawn down in full on the day </w:t>
      </w:r>
      <w:r w:rsidRPr="005904B8">
        <w:rPr>
          <w:rFonts w:cs="DIN-Regular"/>
          <w:szCs w:val="20"/>
        </w:rPr>
        <w:lastRenderedPageBreak/>
        <w:t>the property reached practical completion and the</w:t>
      </w:r>
      <w:r w:rsidR="00B67857">
        <w:rPr>
          <w:rFonts w:cs="DIN-Regular"/>
          <w:szCs w:val="20"/>
        </w:rPr>
        <w:t xml:space="preserve"> development payment became due. The bank loan expiry date is September 2020.</w:t>
      </w:r>
      <w:r w:rsidR="00054DB8">
        <w:rPr>
          <w:rFonts w:cs="DIN-Regular"/>
          <w:szCs w:val="20"/>
        </w:rPr>
        <w:t xml:space="preserve"> </w:t>
      </w:r>
      <w:r w:rsidR="00990EB6" w:rsidRPr="00B73985">
        <w:rPr>
          <w:rFonts w:cs="DIN-Regular"/>
          <w:szCs w:val="20"/>
        </w:rPr>
        <w:t xml:space="preserve">The </w:t>
      </w:r>
      <w:r w:rsidR="00BE5229">
        <w:rPr>
          <w:rFonts w:cs="DIN-Regular"/>
          <w:szCs w:val="20"/>
        </w:rPr>
        <w:t>Bank Loan</w:t>
      </w:r>
      <w:r w:rsidR="00990EB6" w:rsidRPr="00B73985">
        <w:rPr>
          <w:rFonts w:cs="DIN-Regular"/>
          <w:szCs w:val="20"/>
        </w:rPr>
        <w:t xml:space="preserve"> </w:t>
      </w:r>
      <w:r w:rsidR="00851739">
        <w:rPr>
          <w:rFonts w:cs="DIN-Regular"/>
          <w:szCs w:val="20"/>
        </w:rPr>
        <w:t>is</w:t>
      </w:r>
      <w:r w:rsidR="00B530C1" w:rsidRPr="00B73985">
        <w:rPr>
          <w:rFonts w:cs="DIN-Regular"/>
          <w:szCs w:val="20"/>
        </w:rPr>
        <w:t xml:space="preserve"> </w:t>
      </w:r>
      <w:r w:rsidR="00990EB6" w:rsidRPr="00B73985">
        <w:rPr>
          <w:rFonts w:cs="DIN-Regular"/>
          <w:szCs w:val="20"/>
        </w:rPr>
        <w:t>secured against the Propert</w:t>
      </w:r>
      <w:r w:rsidR="009C4D8A">
        <w:rPr>
          <w:rFonts w:cs="DIN-Regular"/>
          <w:szCs w:val="20"/>
        </w:rPr>
        <w:t>ies</w:t>
      </w:r>
      <w:r w:rsidR="00990EB6" w:rsidRPr="00B73985">
        <w:rPr>
          <w:rFonts w:cs="DIN-Regular"/>
          <w:szCs w:val="20"/>
        </w:rPr>
        <w:t xml:space="preserve">. This means that repayment of </w:t>
      </w:r>
      <w:r w:rsidR="007B6379">
        <w:rPr>
          <w:rFonts w:cs="DIN-Regular"/>
          <w:szCs w:val="20"/>
        </w:rPr>
        <w:t>the Bank Loan</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00990EB6" w:rsidRPr="00B73985">
        <w:rPr>
          <w:rFonts w:cs="DIN-Regular"/>
          <w:szCs w:val="20"/>
        </w:rPr>
        <w:t xml:space="preserve">ahead of </w:t>
      </w:r>
      <w:r w:rsidR="00053636">
        <w:rPr>
          <w:rFonts w:cs="DIN-Regular"/>
          <w:szCs w:val="20"/>
        </w:rPr>
        <w:t>unitholders</w:t>
      </w:r>
      <w:r w:rsidR="00053636" w:rsidRPr="00B73985">
        <w:rPr>
          <w:rFonts w:cs="DIN-Regular"/>
          <w:szCs w:val="20"/>
        </w:rPr>
        <w:t xml:space="preserve">’ </w:t>
      </w:r>
      <w:r w:rsidR="00990EB6" w:rsidRPr="00B73985">
        <w:rPr>
          <w:rFonts w:cs="DIN-Regular"/>
          <w:szCs w:val="20"/>
        </w:rPr>
        <w:t xml:space="preserve">interests in the Trust. If the Trust fails to </w:t>
      </w:r>
      <w:r w:rsidR="00B530C1">
        <w:rPr>
          <w:rFonts w:cs="DIN-Regular"/>
          <w:szCs w:val="20"/>
        </w:rPr>
        <w:t xml:space="preserve">put in place or </w:t>
      </w:r>
      <w:r w:rsidR="00990EB6" w:rsidRPr="00B73985">
        <w:rPr>
          <w:rFonts w:cs="DIN-Regular"/>
          <w:szCs w:val="20"/>
        </w:rPr>
        <w:t>renew borrowing or credit facilities, the Trust’s viability</w:t>
      </w:r>
      <w:r w:rsidR="00DD4F73">
        <w:rPr>
          <w:rFonts w:cs="DIN-Regular"/>
          <w:szCs w:val="20"/>
        </w:rPr>
        <w:t xml:space="preserve"> </w:t>
      </w:r>
      <w:r w:rsidR="00990EB6" w:rsidRPr="00B73985">
        <w:rPr>
          <w:rFonts w:cs="DIN-Regular"/>
          <w:szCs w:val="20"/>
        </w:rPr>
        <w:t>could be adversely affected.</w:t>
      </w:r>
    </w:p>
    <w:p w14:paraId="23EAB6A7" w14:textId="6220B789" w:rsidR="00990EB6"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673AEE">
        <w:rPr>
          <w:rFonts w:cs="DIN-Regular"/>
          <w:szCs w:val="20"/>
        </w:rPr>
        <w:t>had</w:t>
      </w:r>
      <w:r w:rsidR="00B530C1">
        <w:rPr>
          <w:rFonts w:cs="DIN-Regular"/>
          <w:szCs w:val="20"/>
        </w:rPr>
        <w:t xml:space="preserve"> an interest rate </w:t>
      </w:r>
      <w:r w:rsidR="00673AEE">
        <w:rPr>
          <w:rFonts w:cs="DIN-Regular"/>
          <w:szCs w:val="20"/>
        </w:rPr>
        <w:t xml:space="preserve">of </w:t>
      </w:r>
      <w:r w:rsidR="00673AEE" w:rsidRPr="006A270C">
        <w:rPr>
          <w:rFonts w:cs="DIN-Regular"/>
          <w:szCs w:val="20"/>
        </w:rPr>
        <w:t>3.86%</w:t>
      </w:r>
      <w:r w:rsidR="00673AEE">
        <w:rPr>
          <w:rFonts w:cs="DIN-Regular"/>
          <w:szCs w:val="20"/>
        </w:rPr>
        <w:t xml:space="preserve"> per annum at </w:t>
      </w:r>
      <w:r w:rsidR="00ED59E0" w:rsidRPr="00ED59E0">
        <w:rPr>
          <w:rFonts w:cs="DIN-Regular"/>
          <w:szCs w:val="20"/>
        </w:rPr>
        <w:t>30 June 2016</w:t>
      </w:r>
      <w:r w:rsidRPr="00B73985">
        <w:rPr>
          <w:rFonts w:cs="DIN-Regular"/>
          <w:szCs w:val="20"/>
        </w:rPr>
        <w:t xml:space="preserv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673AEE">
        <w:rPr>
          <w:rFonts w:cs="DIN-Regular"/>
          <w:szCs w:val="20"/>
        </w:rPr>
        <w:t>until October 2020</w:t>
      </w:r>
      <w:r w:rsidRPr="00B73985">
        <w:rPr>
          <w:rFonts w:cs="DIN-Regular"/>
          <w:szCs w:val="20"/>
        </w:rPr>
        <w:t>. See Section 4.6 below</w:t>
      </w:r>
      <w:r w:rsidR="00D63557">
        <w:rPr>
          <w:rFonts w:cs="DIN-Regular"/>
          <w:szCs w:val="20"/>
        </w:rPr>
        <w:t xml:space="preserve"> for further information on interest rate hedging.</w:t>
      </w:r>
    </w:p>
    <w:p w14:paraId="204F617F" w14:textId="603D3424" w:rsidR="000064AF" w:rsidRDefault="000064AF" w:rsidP="000064AF">
      <w:pPr>
        <w:autoSpaceDE w:val="0"/>
        <w:autoSpaceDN w:val="0"/>
        <w:adjustRightInd w:val="0"/>
        <w:jc w:val="both"/>
        <w:rPr>
          <w:rFonts w:cs="DIN-Regular"/>
          <w:szCs w:val="20"/>
        </w:rPr>
      </w:pPr>
      <w:r w:rsidRPr="00923440">
        <w:rPr>
          <w:rFonts w:cs="DIN-Regular"/>
          <w:szCs w:val="20"/>
        </w:rPr>
        <w:t>The interest expense incurred by the Trust is not capitalised. Interest is paid as and when due from available cash reserves.</w:t>
      </w:r>
    </w:p>
    <w:p w14:paraId="455CF3BE" w14:textId="77777777" w:rsidR="00530FD9" w:rsidRDefault="00530FD9" w:rsidP="00530FD9">
      <w:pPr>
        <w:autoSpaceDE w:val="0"/>
        <w:autoSpaceDN w:val="0"/>
        <w:adjustRightInd w:val="0"/>
        <w:jc w:val="both"/>
        <w:rPr>
          <w:rFonts w:cs="DIN-Regular"/>
          <w:szCs w:val="20"/>
        </w:rPr>
      </w:pPr>
      <w:r>
        <w:rPr>
          <w:rFonts w:cs="DIN-Regular"/>
          <w:szCs w:val="20"/>
        </w:rPr>
        <w:t>The maturity profile of the Fund’s borrowing facilities are as follows:</w:t>
      </w:r>
    </w:p>
    <w:p w14:paraId="270633A1" w14:textId="77777777" w:rsidR="00530FD9" w:rsidRPr="00923440" w:rsidRDefault="00530FD9" w:rsidP="000064AF">
      <w:pPr>
        <w:autoSpaceDE w:val="0"/>
        <w:autoSpaceDN w:val="0"/>
        <w:adjustRightInd w:val="0"/>
        <w:jc w:val="both"/>
        <w:rPr>
          <w:rFonts w:cs="DIN-Regular"/>
          <w:szCs w:val="20"/>
        </w:rPr>
      </w:pPr>
    </w:p>
    <w:p w14:paraId="127FF5D1" w14:textId="2D15423B" w:rsidR="00530FD9" w:rsidRPr="00B73985" w:rsidRDefault="00530FD9" w:rsidP="00B73985">
      <w:pPr>
        <w:autoSpaceDE w:val="0"/>
        <w:autoSpaceDN w:val="0"/>
        <w:adjustRightInd w:val="0"/>
        <w:jc w:val="both"/>
        <w:rPr>
          <w:rFonts w:cs="DIN-Regular"/>
          <w:szCs w:val="20"/>
        </w:rPr>
      </w:pPr>
      <w:r>
        <w:rPr>
          <w:noProof/>
          <w:lang w:eastAsia="en-AU"/>
        </w:rPr>
        <w:drawing>
          <wp:inline distT="0" distB="0" distL="0" distR="0" wp14:anchorId="239A8C41" wp14:editId="7507A116">
            <wp:extent cx="5831840" cy="35375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6DDA03" w14:textId="13B58EBB"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w:t>
      </w:r>
      <w:r w:rsidRPr="004022F9">
        <w:rPr>
          <w:rFonts w:cs="DIN-Regular"/>
          <w:i/>
          <w:szCs w:val="20"/>
        </w:rPr>
        <w:t>Corporations Act</w:t>
      </w:r>
      <w:r w:rsidR="00082E57" w:rsidRPr="004022F9">
        <w:rPr>
          <w:rFonts w:cs="DIN-Regular"/>
          <w:i/>
          <w:szCs w:val="20"/>
        </w:rPr>
        <w:t xml:space="preserve"> 2001</w:t>
      </w:r>
      <w:r w:rsidR="00082E57">
        <w:rPr>
          <w:rFonts w:cs="DIN-Regular"/>
          <w:szCs w:val="20"/>
        </w:rPr>
        <w:t xml:space="preserve"> (</w:t>
      </w:r>
      <w:proofErr w:type="spellStart"/>
      <w:r w:rsidR="00082E57">
        <w:rPr>
          <w:rFonts w:cs="DIN-Regular"/>
          <w:szCs w:val="20"/>
        </w:rPr>
        <w:t>Cth</w:t>
      </w:r>
      <w:proofErr w:type="spellEnd"/>
      <w:r w:rsidR="00082E57">
        <w:rPr>
          <w:rFonts w:cs="DIN-Regular"/>
          <w:szCs w:val="20"/>
        </w:rPr>
        <w:t>)</w:t>
      </w:r>
      <w:r w:rsidR="00916626">
        <w:rPr>
          <w:rFonts w:cs="DIN-Regular"/>
          <w:szCs w:val="20"/>
        </w:rPr>
        <w:t xml:space="preserve"> </w:t>
      </w:r>
      <w:r w:rsidRPr="00B73985">
        <w:rPr>
          <w:rFonts w:cs="DIN-Regular"/>
          <w:szCs w:val="20"/>
        </w:rPr>
        <w:t xml:space="preserve">give </w:t>
      </w:r>
      <w:r w:rsidR="00053636">
        <w:rPr>
          <w:rFonts w:cs="DIN-Regular"/>
          <w:szCs w:val="20"/>
        </w:rPr>
        <w:t>unitholders</w:t>
      </w:r>
      <w:r w:rsidR="00053636"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053636">
        <w:rPr>
          <w:rFonts w:cs="DIN-Regular"/>
          <w:szCs w:val="20"/>
        </w:rPr>
        <w:t>unitholders</w:t>
      </w:r>
      <w:r w:rsidR="00053636" w:rsidRPr="00B73985">
        <w:rPr>
          <w:rFonts w:cs="DIN-Regular"/>
          <w:szCs w:val="20"/>
        </w:rPr>
        <w:t xml:space="preserve"> </w:t>
      </w:r>
      <w:r w:rsidRPr="00B73985">
        <w:rPr>
          <w:rFonts w:cs="DIN-Regular"/>
          <w:szCs w:val="20"/>
        </w:rPr>
        <w:t xml:space="preserve">can call a meeting of </w:t>
      </w:r>
      <w:r w:rsidR="00053636">
        <w:rPr>
          <w:rFonts w:cs="DIN-Regular"/>
          <w:szCs w:val="20"/>
        </w:rPr>
        <w:t>unitholders</w:t>
      </w:r>
      <w:r w:rsidR="00053636"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w:t>
      </w:r>
      <w:r w:rsidR="00CF4156">
        <w:rPr>
          <w:rFonts w:eastAsiaTheme="minorHAnsi"/>
        </w:rPr>
        <w:t>CFM</w:t>
      </w:r>
      <w:r w:rsidR="00CF4156" w:rsidRPr="00A809A9">
        <w:rPr>
          <w:rFonts w:eastAsiaTheme="minorHAnsi"/>
        </w:rPr>
        <w:t xml:space="preserve"> </w:t>
      </w:r>
      <w:r w:rsidRPr="00B73985">
        <w:rPr>
          <w:rFonts w:cs="DIN-Regular"/>
          <w:szCs w:val="20"/>
        </w:rPr>
        <w:t xml:space="preserve">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14:paraId="5751B1E1" w14:textId="77777777" w:rsidR="00620DFD" w:rsidRPr="00181CFA" w:rsidRDefault="00620DFD" w:rsidP="00620DFD">
      <w:pPr>
        <w:pStyle w:val="Heading2"/>
      </w:pPr>
      <w:r w:rsidRPr="00181CFA">
        <w:t>Gearing Ratio</w:t>
      </w:r>
    </w:p>
    <w:p w14:paraId="7421EA4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14:paraId="5425114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w:t>
      </w:r>
      <w:r w:rsidR="007B6379">
        <w:rPr>
          <w:rFonts w:cs="DIN-Regular"/>
          <w:szCs w:val="20"/>
        </w:rPr>
        <w:t>,</w:t>
      </w:r>
      <w:r w:rsidRPr="00B73985">
        <w:rPr>
          <w:rFonts w:cs="DIN-Regular"/>
          <w:szCs w:val="20"/>
        </w:rPr>
        <w:t xml:space="preserve"> the higher the gearing ratio the greater the risks</w:t>
      </w:r>
      <w:r>
        <w:rPr>
          <w:rFonts w:cs="DIN-Regular"/>
          <w:szCs w:val="20"/>
        </w:rPr>
        <w:t xml:space="preserve"> </w:t>
      </w:r>
      <w:r w:rsidRPr="00B73985">
        <w:rPr>
          <w:rFonts w:cs="DIN-Regular"/>
          <w:szCs w:val="20"/>
        </w:rPr>
        <w:t>faced by the Trust as a result of its borrowings.</w:t>
      </w:r>
    </w:p>
    <w:p w14:paraId="2D141A2C"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3119"/>
      </w:tblGrid>
      <w:tr w:rsidR="00620DFD" w:rsidRPr="00094983" w14:paraId="28C7AB7B" w14:textId="77777777" w:rsidTr="004022F9">
        <w:trPr>
          <w:trHeight w:val="293"/>
        </w:trPr>
        <w:tc>
          <w:tcPr>
            <w:tcW w:w="1951" w:type="dxa"/>
            <w:vMerge w:val="restart"/>
            <w:vAlign w:val="center"/>
          </w:tcPr>
          <w:p w14:paraId="773CD3DC" w14:textId="77777777" w:rsidR="00620DFD" w:rsidRPr="00094983" w:rsidRDefault="00620DFD" w:rsidP="00174E69">
            <w:pPr>
              <w:spacing w:after="0" w:line="240" w:lineRule="auto"/>
              <w:rPr>
                <w:sz w:val="16"/>
                <w:szCs w:val="16"/>
              </w:rPr>
            </w:pPr>
            <w:r w:rsidRPr="00094983">
              <w:rPr>
                <w:sz w:val="16"/>
                <w:szCs w:val="16"/>
              </w:rPr>
              <w:lastRenderedPageBreak/>
              <w:t>Gearing ratio</w:t>
            </w:r>
          </w:p>
        </w:tc>
        <w:tc>
          <w:tcPr>
            <w:tcW w:w="567" w:type="dxa"/>
            <w:vMerge w:val="restart"/>
            <w:vAlign w:val="center"/>
          </w:tcPr>
          <w:p w14:paraId="7398A2DE" w14:textId="77777777" w:rsidR="00620DFD" w:rsidRPr="00094983" w:rsidRDefault="00620DFD" w:rsidP="00174E69">
            <w:pPr>
              <w:spacing w:before="20" w:after="20" w:line="240" w:lineRule="auto"/>
              <w:rPr>
                <w:sz w:val="16"/>
                <w:szCs w:val="16"/>
              </w:rPr>
            </w:pPr>
            <w:r w:rsidRPr="00094983">
              <w:rPr>
                <w:sz w:val="16"/>
                <w:szCs w:val="16"/>
              </w:rPr>
              <w:t>=</w:t>
            </w:r>
          </w:p>
        </w:tc>
        <w:tc>
          <w:tcPr>
            <w:tcW w:w="3119" w:type="dxa"/>
            <w:tcBorders>
              <w:bottom w:val="single" w:sz="4" w:space="0" w:color="002060"/>
            </w:tcBorders>
            <w:vAlign w:val="center"/>
          </w:tcPr>
          <w:p w14:paraId="41AD19E8" w14:textId="77777777" w:rsidR="00620DFD" w:rsidRPr="00094983" w:rsidRDefault="00620DFD" w:rsidP="004022F9">
            <w:pPr>
              <w:spacing w:before="20" w:after="20" w:line="240" w:lineRule="auto"/>
              <w:jc w:val="center"/>
              <w:rPr>
                <w:sz w:val="16"/>
                <w:szCs w:val="16"/>
              </w:rPr>
            </w:pPr>
            <w:r w:rsidRPr="00094983">
              <w:rPr>
                <w:sz w:val="16"/>
                <w:szCs w:val="16"/>
              </w:rPr>
              <w:t>Total interest bearing liabilities</w:t>
            </w:r>
          </w:p>
        </w:tc>
      </w:tr>
      <w:tr w:rsidR="00620DFD" w:rsidRPr="00094983" w14:paraId="7BB9345E" w14:textId="77777777" w:rsidTr="004022F9">
        <w:trPr>
          <w:trHeight w:val="70"/>
        </w:trPr>
        <w:tc>
          <w:tcPr>
            <w:tcW w:w="1951" w:type="dxa"/>
            <w:vMerge/>
          </w:tcPr>
          <w:p w14:paraId="0F0A4B21" w14:textId="77777777" w:rsidR="00620DFD" w:rsidRPr="00094983" w:rsidRDefault="00620DFD" w:rsidP="00174E69">
            <w:pPr>
              <w:spacing w:after="0" w:line="240" w:lineRule="auto"/>
              <w:rPr>
                <w:sz w:val="16"/>
                <w:szCs w:val="16"/>
              </w:rPr>
            </w:pPr>
          </w:p>
        </w:tc>
        <w:tc>
          <w:tcPr>
            <w:tcW w:w="567" w:type="dxa"/>
            <w:vMerge/>
          </w:tcPr>
          <w:p w14:paraId="18F0E25E" w14:textId="77777777" w:rsidR="00620DFD" w:rsidRPr="00094983" w:rsidRDefault="00620DFD" w:rsidP="00174E69">
            <w:pPr>
              <w:spacing w:before="20" w:after="20" w:line="240" w:lineRule="auto"/>
              <w:rPr>
                <w:sz w:val="16"/>
                <w:szCs w:val="16"/>
              </w:rPr>
            </w:pPr>
          </w:p>
        </w:tc>
        <w:tc>
          <w:tcPr>
            <w:tcW w:w="3119" w:type="dxa"/>
            <w:tcBorders>
              <w:top w:val="single" w:sz="4" w:space="0" w:color="002060"/>
            </w:tcBorders>
            <w:vAlign w:val="center"/>
          </w:tcPr>
          <w:p w14:paraId="6C28FE85" w14:textId="77777777" w:rsidR="00620DFD" w:rsidRPr="00094983" w:rsidRDefault="00620DFD" w:rsidP="004022F9">
            <w:pPr>
              <w:spacing w:before="20" w:after="20" w:line="240" w:lineRule="auto"/>
              <w:jc w:val="center"/>
              <w:rPr>
                <w:sz w:val="16"/>
                <w:szCs w:val="16"/>
              </w:rPr>
            </w:pPr>
            <w:r w:rsidRPr="00094983">
              <w:rPr>
                <w:sz w:val="16"/>
                <w:szCs w:val="16"/>
              </w:rPr>
              <w:t>Total assets</w:t>
            </w:r>
          </w:p>
        </w:tc>
      </w:tr>
    </w:tbl>
    <w:p w14:paraId="0B1AE453" w14:textId="77777777" w:rsidR="00620DFD" w:rsidRDefault="00620DFD" w:rsidP="00620DFD">
      <w:pPr>
        <w:rPr>
          <w:rFonts w:ascii="DIN-Regular" w:eastAsiaTheme="minorHAnsi" w:hAnsi="DIN-Regular" w:cs="DIN-Regular"/>
          <w:color w:val="003B5A"/>
          <w:sz w:val="18"/>
          <w:szCs w:val="18"/>
        </w:rPr>
      </w:pPr>
    </w:p>
    <w:p w14:paraId="21B60677" w14:textId="47F60BE8"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ED59E0" w:rsidRPr="00ED59E0">
        <w:rPr>
          <w:rFonts w:cs="DIN-Regular"/>
          <w:szCs w:val="20"/>
        </w:rPr>
        <w:t xml:space="preserve">30 </w:t>
      </w:r>
      <w:r w:rsidR="00735A57">
        <w:rPr>
          <w:rFonts w:cs="DIN-Regular"/>
          <w:szCs w:val="20"/>
        </w:rPr>
        <w:t>September</w:t>
      </w:r>
      <w:r w:rsidR="00735A57" w:rsidRPr="00ED59E0">
        <w:rPr>
          <w:rFonts w:cs="DIN-Regular"/>
          <w:szCs w:val="20"/>
        </w:rPr>
        <w:t xml:space="preserve"> </w:t>
      </w:r>
      <w:r w:rsidR="00ED59E0" w:rsidRPr="00ED59E0">
        <w:rPr>
          <w:rFonts w:cs="DIN-Regular"/>
          <w:szCs w:val="20"/>
        </w:rPr>
        <w:t>2016</w:t>
      </w:r>
      <w:r w:rsidR="00ED59E0">
        <w:rPr>
          <w:rFonts w:cs="DIN-Regular"/>
          <w:szCs w:val="20"/>
        </w:rPr>
        <w:t xml:space="preserve"> </w:t>
      </w:r>
      <w:r w:rsidR="00B530C1">
        <w:rPr>
          <w:rFonts w:cs="DIN-Regular"/>
          <w:szCs w:val="20"/>
        </w:rPr>
        <w:t>was</w:t>
      </w:r>
      <w:r w:rsidRPr="00B73985">
        <w:rPr>
          <w:rFonts w:cs="DIN-Regular"/>
          <w:szCs w:val="20"/>
        </w:rPr>
        <w:t xml:space="preserve"> </w:t>
      </w:r>
      <w:r w:rsidR="00735A57">
        <w:rPr>
          <w:rFonts w:cs="DIN-Regular"/>
          <w:szCs w:val="20"/>
        </w:rPr>
        <w:t>29.9</w:t>
      </w:r>
      <w:r w:rsidRPr="00B73985">
        <w:rPr>
          <w:rFonts w:cs="DIN-Regular"/>
          <w:szCs w:val="20"/>
        </w:rPr>
        <w:t>%</w:t>
      </w:r>
      <w:r w:rsidR="00673AEE">
        <w:rPr>
          <w:rFonts w:cs="DIN-Regular"/>
          <w:szCs w:val="20"/>
        </w:rPr>
        <w:t>.</w:t>
      </w:r>
      <w:r w:rsidRPr="00B73985">
        <w:rPr>
          <w:rFonts w:cs="DIN-Regular"/>
          <w:szCs w:val="20"/>
        </w:rPr>
        <w:t xml:space="preserve"> </w:t>
      </w:r>
    </w:p>
    <w:p w14:paraId="5F22D38D" w14:textId="69C8ECCB" w:rsidR="009F2265" w:rsidRDefault="009F2265" w:rsidP="009F2265">
      <w:pPr>
        <w:autoSpaceDE w:val="0"/>
        <w:autoSpaceDN w:val="0"/>
        <w:adjustRightInd w:val="0"/>
        <w:jc w:val="both"/>
        <w:rPr>
          <w:rFonts w:cs="DIN-Regular"/>
          <w:szCs w:val="20"/>
        </w:rPr>
      </w:pPr>
      <w:r w:rsidRPr="002B1F96">
        <w:rPr>
          <w:rFonts w:cs="DIN-Regular"/>
          <w:szCs w:val="20"/>
        </w:rPr>
        <w:t xml:space="preserve">The gearing ratio </w:t>
      </w:r>
      <w:r w:rsidR="000064AF">
        <w:rPr>
          <w:rFonts w:cs="DIN-Regular"/>
          <w:szCs w:val="20"/>
        </w:rPr>
        <w:t xml:space="preserve">for </w:t>
      </w:r>
      <w:r w:rsidR="00735A57">
        <w:rPr>
          <w:rFonts w:cs="DIN-Regular"/>
          <w:szCs w:val="20"/>
        </w:rPr>
        <w:t xml:space="preserve">September </w:t>
      </w:r>
      <w:r w:rsidR="000064AF">
        <w:rPr>
          <w:rFonts w:cs="DIN-Regular"/>
          <w:szCs w:val="20"/>
        </w:rPr>
        <w:t xml:space="preserve">2016 </w:t>
      </w:r>
      <w:r w:rsidRPr="002B1F96">
        <w:rPr>
          <w:rFonts w:cs="DIN-Regular"/>
          <w:szCs w:val="20"/>
        </w:rPr>
        <w:t>was calculated using information from</w:t>
      </w:r>
      <w:r>
        <w:rPr>
          <w:rFonts w:cs="DIN-Regular"/>
          <w:szCs w:val="20"/>
        </w:rPr>
        <w:t xml:space="preserve"> </w:t>
      </w:r>
      <w:r w:rsidRPr="002B1F96">
        <w:rPr>
          <w:rFonts w:cs="DIN-Regular"/>
          <w:szCs w:val="20"/>
        </w:rPr>
        <w:t xml:space="preserve">the Trust’s latest </w:t>
      </w:r>
      <w:r w:rsidR="00735A57">
        <w:rPr>
          <w:rFonts w:cs="DIN-Regular"/>
          <w:szCs w:val="20"/>
        </w:rPr>
        <w:t>management</w:t>
      </w:r>
      <w:r w:rsidR="00735A57" w:rsidRPr="002B1F96">
        <w:rPr>
          <w:rFonts w:cs="DIN-Regular"/>
          <w:szCs w:val="20"/>
        </w:rPr>
        <w:t xml:space="preserve"> </w:t>
      </w:r>
      <w:r w:rsidRPr="002B1F96">
        <w:rPr>
          <w:rFonts w:cs="DIN-Regular"/>
          <w:szCs w:val="20"/>
        </w:rPr>
        <w:t xml:space="preserve">financial accounts. The Trust does not have any off balance sheet financing.  </w:t>
      </w:r>
    </w:p>
    <w:p w14:paraId="561ABDA2" w14:textId="77777777" w:rsidR="00620DFD" w:rsidRDefault="00620DFD" w:rsidP="00620DFD">
      <w:pPr>
        <w:pStyle w:val="Heading2"/>
      </w:pPr>
      <w:r w:rsidRPr="00181CFA">
        <w:t>Interest Cover</w:t>
      </w:r>
    </w:p>
    <w:p w14:paraId="5AE9E1E4" w14:textId="77777777"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w:t>
      </w:r>
      <w:r w:rsidR="007B6379">
        <w:rPr>
          <w:rFonts w:cs="DIN-Regular"/>
          <w:szCs w:val="20"/>
        </w:rPr>
        <w:t>,</w:t>
      </w:r>
      <w:r w:rsidRPr="00B73985">
        <w:rPr>
          <w:rFonts w:cs="DIN-Regular"/>
          <w:szCs w:val="20"/>
        </w:rPr>
        <w:t xml:space="preserve">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14:paraId="598BD333"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5"/>
        <w:gridCol w:w="3854"/>
      </w:tblGrid>
      <w:tr w:rsidR="00620DFD" w:rsidRPr="00094983" w14:paraId="183E14CD" w14:textId="77777777" w:rsidTr="004022F9">
        <w:trPr>
          <w:trHeight w:val="299"/>
        </w:trPr>
        <w:tc>
          <w:tcPr>
            <w:tcW w:w="1526" w:type="dxa"/>
            <w:vMerge w:val="restart"/>
            <w:vAlign w:val="center"/>
          </w:tcPr>
          <w:p w14:paraId="64323087" w14:textId="77777777"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14:paraId="747CA58C" w14:textId="77777777"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3854" w:type="dxa"/>
            <w:tcBorders>
              <w:bottom w:val="single" w:sz="4" w:space="0" w:color="002060"/>
            </w:tcBorders>
            <w:vAlign w:val="center"/>
          </w:tcPr>
          <w:p w14:paraId="6CE7EB63" w14:textId="77777777" w:rsidR="00E744AE" w:rsidRPr="00094983" w:rsidRDefault="00E744AE" w:rsidP="004022F9">
            <w:pPr>
              <w:autoSpaceDE w:val="0"/>
              <w:autoSpaceDN w:val="0"/>
              <w:adjustRightInd w:val="0"/>
              <w:spacing w:after="0"/>
              <w:jc w:val="center"/>
              <w:rPr>
                <w:rFonts w:cs="DIN-Regular"/>
                <w:sz w:val="16"/>
                <w:szCs w:val="16"/>
              </w:rPr>
            </w:pPr>
            <w:r w:rsidRPr="00094983">
              <w:rPr>
                <w:rFonts w:cs="DIN-Regular"/>
                <w:sz w:val="16"/>
                <w:szCs w:val="16"/>
              </w:rPr>
              <w:t>EBITDA – unrealised gains + unrealised losses</w:t>
            </w:r>
          </w:p>
        </w:tc>
      </w:tr>
      <w:tr w:rsidR="00620DFD" w:rsidRPr="00094983" w14:paraId="0942E49B" w14:textId="77777777" w:rsidTr="004022F9">
        <w:trPr>
          <w:trHeight w:val="191"/>
        </w:trPr>
        <w:tc>
          <w:tcPr>
            <w:tcW w:w="1526" w:type="dxa"/>
            <w:vMerge/>
          </w:tcPr>
          <w:p w14:paraId="20B0BC3D" w14:textId="77777777" w:rsidR="00E744AE" w:rsidRPr="00094983" w:rsidRDefault="00E744AE" w:rsidP="00E744AE">
            <w:pPr>
              <w:autoSpaceDE w:val="0"/>
              <w:autoSpaceDN w:val="0"/>
              <w:adjustRightInd w:val="0"/>
              <w:jc w:val="both"/>
              <w:rPr>
                <w:rFonts w:cs="DIN-Regular"/>
                <w:sz w:val="16"/>
                <w:szCs w:val="16"/>
              </w:rPr>
            </w:pPr>
          </w:p>
        </w:tc>
        <w:tc>
          <w:tcPr>
            <w:tcW w:w="625" w:type="dxa"/>
            <w:vMerge/>
          </w:tcPr>
          <w:p w14:paraId="373239BE" w14:textId="77777777" w:rsidR="00E744AE" w:rsidRPr="00094983" w:rsidRDefault="00E744AE" w:rsidP="00E744AE">
            <w:pPr>
              <w:autoSpaceDE w:val="0"/>
              <w:autoSpaceDN w:val="0"/>
              <w:adjustRightInd w:val="0"/>
              <w:jc w:val="both"/>
              <w:rPr>
                <w:rFonts w:cs="DIN-Regular"/>
                <w:sz w:val="16"/>
                <w:szCs w:val="16"/>
              </w:rPr>
            </w:pPr>
          </w:p>
        </w:tc>
        <w:tc>
          <w:tcPr>
            <w:tcW w:w="3854" w:type="dxa"/>
            <w:tcBorders>
              <w:top w:val="single" w:sz="4" w:space="0" w:color="002060"/>
            </w:tcBorders>
            <w:vAlign w:val="center"/>
          </w:tcPr>
          <w:p w14:paraId="1CDDEFBD" w14:textId="77777777" w:rsidR="00E744AE" w:rsidRPr="00094983" w:rsidRDefault="00E744AE" w:rsidP="004022F9">
            <w:pPr>
              <w:autoSpaceDE w:val="0"/>
              <w:autoSpaceDN w:val="0"/>
              <w:adjustRightInd w:val="0"/>
              <w:spacing w:before="60"/>
              <w:jc w:val="center"/>
              <w:rPr>
                <w:rFonts w:cs="DIN-Regular"/>
                <w:sz w:val="16"/>
                <w:szCs w:val="16"/>
              </w:rPr>
            </w:pPr>
            <w:r w:rsidRPr="00094983">
              <w:rPr>
                <w:rFonts w:cs="DIN-Regular"/>
                <w:sz w:val="16"/>
                <w:szCs w:val="16"/>
              </w:rPr>
              <w:t>Interest expense</w:t>
            </w:r>
          </w:p>
        </w:tc>
      </w:tr>
    </w:tbl>
    <w:p w14:paraId="6648B199"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14:paraId="0DD229A1" w14:textId="75F199D9" w:rsidR="00CB348A" w:rsidRDefault="00620DFD" w:rsidP="00620DFD">
      <w:pPr>
        <w:autoSpaceDE w:val="0"/>
        <w:autoSpaceDN w:val="0"/>
        <w:adjustRightInd w:val="0"/>
        <w:jc w:val="both"/>
        <w:rPr>
          <w:rFonts w:cs="DIN-Regular"/>
          <w:szCs w:val="20"/>
        </w:rPr>
      </w:pPr>
      <w:r w:rsidRPr="00B73985">
        <w:rPr>
          <w:rFonts w:cs="DIN-Regular"/>
          <w:szCs w:val="20"/>
        </w:rPr>
        <w:t>The Trust</w:t>
      </w:r>
      <w:r w:rsidR="00EC3883">
        <w:rPr>
          <w:rFonts w:cs="DIN-Regular"/>
          <w:szCs w:val="20"/>
        </w:rPr>
        <w:t xml:space="preserve">’s interest cover </w:t>
      </w:r>
      <w:r w:rsidR="004D5540">
        <w:rPr>
          <w:rFonts w:cs="DIN-Regular"/>
          <w:szCs w:val="20"/>
        </w:rPr>
        <w:t xml:space="preserve">ratio </w:t>
      </w:r>
      <w:r w:rsidR="00EC3883">
        <w:rPr>
          <w:rFonts w:cs="DIN-Regular"/>
          <w:szCs w:val="20"/>
        </w:rPr>
        <w:t xml:space="preserve">for the year ended </w:t>
      </w:r>
      <w:r w:rsidR="00ED59E0" w:rsidRPr="00ED59E0">
        <w:rPr>
          <w:rFonts w:cs="DIN-Regular"/>
          <w:szCs w:val="20"/>
        </w:rPr>
        <w:t>30 June 2016</w:t>
      </w:r>
      <w:r w:rsidR="00ED59E0">
        <w:rPr>
          <w:rFonts w:cs="DIN-Regular"/>
          <w:szCs w:val="20"/>
        </w:rPr>
        <w:t xml:space="preserve"> </w:t>
      </w:r>
      <w:r w:rsidR="00EC3883">
        <w:rPr>
          <w:rFonts w:cs="DIN-Regular"/>
          <w:szCs w:val="20"/>
        </w:rPr>
        <w:t xml:space="preserve">was </w:t>
      </w:r>
      <w:r w:rsidR="00994FAF">
        <w:rPr>
          <w:rFonts w:cs="DIN-Regular"/>
          <w:szCs w:val="20"/>
        </w:rPr>
        <w:t>4.7</w:t>
      </w:r>
      <w:r w:rsidR="00EC3883">
        <w:rPr>
          <w:rFonts w:cs="DIN-Regular"/>
          <w:szCs w:val="20"/>
        </w:rPr>
        <w:t xml:space="preserve"> times, </w:t>
      </w:r>
      <w:r w:rsidR="00F13AA4">
        <w:rPr>
          <w:rFonts w:cs="DIN-Regular"/>
          <w:szCs w:val="20"/>
        </w:rPr>
        <w:t>calculated from 1 October 2015 from when the</w:t>
      </w:r>
      <w:r w:rsidR="00EC3883">
        <w:rPr>
          <w:rFonts w:cs="DIN-Regular"/>
          <w:szCs w:val="20"/>
        </w:rPr>
        <w:t xml:space="preserve"> loan was drawn down for </w:t>
      </w:r>
      <w:r w:rsidR="00B023EA">
        <w:rPr>
          <w:rFonts w:cs="DIN-Regular"/>
          <w:szCs w:val="20"/>
        </w:rPr>
        <w:t xml:space="preserve">9 </w:t>
      </w:r>
      <w:r w:rsidR="00EC3883">
        <w:rPr>
          <w:rFonts w:cs="DIN-Regular"/>
          <w:szCs w:val="20"/>
        </w:rPr>
        <w:t xml:space="preserve">months in the reporting period. </w:t>
      </w:r>
      <w:r w:rsidRPr="00B73985">
        <w:rPr>
          <w:rFonts w:cs="DIN-Regular"/>
          <w:szCs w:val="20"/>
        </w:rPr>
        <w:t xml:space="preserve"> </w:t>
      </w:r>
    </w:p>
    <w:p w14:paraId="5293C04E" w14:textId="77777777" w:rsidR="00E744AE" w:rsidRDefault="00E744AE">
      <w:pPr>
        <w:pStyle w:val="Heading2"/>
      </w:pPr>
      <w:r w:rsidRPr="00E744AE">
        <w:t>Loan Covenants</w:t>
      </w:r>
    </w:p>
    <w:p w14:paraId="094560BB" w14:textId="77777777" w:rsidR="00E744AE" w:rsidRPr="00E744AE" w:rsidRDefault="00EC3883"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Bank Loan </w:t>
      </w:r>
      <w:r>
        <w:rPr>
          <w:rFonts w:cs="DIN-Regular"/>
          <w:szCs w:val="20"/>
        </w:rPr>
        <w:t>has</w:t>
      </w:r>
      <w:r w:rsidR="00E744AE" w:rsidRPr="00E744AE">
        <w:rPr>
          <w:rFonts w:cs="DIN-Regular"/>
          <w:szCs w:val="20"/>
        </w:rPr>
        <w:t xml:space="preserve"> various financial covenants which </w:t>
      </w:r>
      <w:r w:rsidR="00635996">
        <w:rPr>
          <w:rFonts w:cs="DIN-Regular"/>
          <w:szCs w:val="20"/>
        </w:rPr>
        <w:t xml:space="preserve">must </w:t>
      </w:r>
      <w:r w:rsidR="00E744AE" w:rsidRPr="00E744AE">
        <w:rPr>
          <w:rFonts w:cs="DIN-Regular"/>
          <w:szCs w:val="20"/>
        </w:rPr>
        <w:t xml:space="preserve">be complied </w:t>
      </w:r>
      <w:r w:rsidR="00CB348A">
        <w:rPr>
          <w:rFonts w:cs="DIN-Regular"/>
          <w:szCs w:val="20"/>
        </w:rPr>
        <w:t>with</w:t>
      </w:r>
      <w:r w:rsidR="00E744AE" w:rsidRPr="00E744AE">
        <w:rPr>
          <w:rFonts w:cs="DIN-Regular"/>
          <w:szCs w:val="20"/>
        </w:rPr>
        <w:t>.</w:t>
      </w:r>
      <w:r w:rsidR="00F7038B">
        <w:rPr>
          <w:rFonts w:cs="DIN-Regular"/>
          <w:szCs w:val="20"/>
        </w:rPr>
        <w:t xml:space="preserve">  The Trust </w:t>
      </w:r>
      <w:r w:rsidR="00F7038B" w:rsidRPr="002B1F96">
        <w:rPr>
          <w:rFonts w:cs="DIN-Regular"/>
          <w:szCs w:val="20"/>
        </w:rPr>
        <w:t>is in compliance with all covenants.</w:t>
      </w:r>
    </w:p>
    <w:p w14:paraId="459CAB18" w14:textId="5AA0A722" w:rsidR="00E744AE" w:rsidRPr="00E744AE" w:rsidRDefault="00EC3883" w:rsidP="00E744AE">
      <w:pPr>
        <w:autoSpaceDE w:val="0"/>
        <w:autoSpaceDN w:val="0"/>
        <w:adjustRightInd w:val="0"/>
        <w:jc w:val="both"/>
        <w:rPr>
          <w:rFonts w:cs="DIN-Regular"/>
          <w:szCs w:val="20"/>
        </w:rPr>
      </w:pPr>
      <w:r>
        <w:rPr>
          <w:rFonts w:cs="DIN-Regular"/>
          <w:szCs w:val="20"/>
        </w:rPr>
        <w:t>Under the terms of</w:t>
      </w:r>
      <w:r w:rsidR="00E744AE" w:rsidRPr="00E744AE">
        <w:rPr>
          <w:rFonts w:cs="DIN-Regular"/>
          <w:szCs w:val="20"/>
        </w:rPr>
        <w:t xml:space="preserve"> the Bank Loan the ‘loan to value’ ratio must be at or below </w:t>
      </w:r>
      <w:r>
        <w:rPr>
          <w:rFonts w:cs="DIN-Regular"/>
          <w:szCs w:val="20"/>
        </w:rPr>
        <w:t>50</w:t>
      </w:r>
      <w:r w:rsidR="00E744AE" w:rsidRPr="00E744AE">
        <w:rPr>
          <w:rFonts w:cs="DIN-Regular"/>
          <w:szCs w:val="20"/>
        </w:rPr>
        <w:t xml:space="preserve">%. The ‘loan to value’ ratio is the amount of the </w:t>
      </w:r>
      <w:r w:rsidR="00BE5229">
        <w:rPr>
          <w:rFonts w:cs="DIN-Regular"/>
          <w:szCs w:val="20"/>
        </w:rPr>
        <w:t xml:space="preserve">Bank Loan </w:t>
      </w:r>
      <w:r w:rsidR="00E744AE" w:rsidRPr="00E744AE">
        <w:rPr>
          <w:rFonts w:cs="DIN-Regular"/>
          <w:szCs w:val="20"/>
        </w:rPr>
        <w:t xml:space="preserve">divided by the value of </w:t>
      </w:r>
      <w:r w:rsidR="001C39EB">
        <w:rPr>
          <w:rFonts w:cs="DIN-Regular"/>
          <w:szCs w:val="20"/>
        </w:rPr>
        <w:t>Properties</w:t>
      </w:r>
      <w:r>
        <w:rPr>
          <w:rFonts w:cs="DIN-Regular"/>
          <w:szCs w:val="20"/>
        </w:rPr>
        <w:t xml:space="preserve"> and was </w:t>
      </w:r>
      <w:r w:rsidR="00CD4166">
        <w:rPr>
          <w:rFonts w:cs="DIN-Regular"/>
          <w:szCs w:val="20"/>
        </w:rPr>
        <w:t>30.6</w:t>
      </w:r>
      <w:r w:rsidR="009C5F78">
        <w:rPr>
          <w:rFonts w:cs="DIN-Regular"/>
          <w:szCs w:val="20"/>
        </w:rPr>
        <w:t xml:space="preserve">% at </w:t>
      </w:r>
      <w:r w:rsidR="00ED59E0" w:rsidRPr="00ED59E0">
        <w:rPr>
          <w:rFonts w:cs="DIN-Regular"/>
          <w:szCs w:val="20"/>
        </w:rPr>
        <w:t xml:space="preserve">30 </w:t>
      </w:r>
      <w:r w:rsidR="00CD4166">
        <w:rPr>
          <w:rFonts w:cs="DIN-Regular"/>
          <w:szCs w:val="20"/>
        </w:rPr>
        <w:t>September</w:t>
      </w:r>
      <w:r w:rsidR="00CD4166" w:rsidRPr="00ED59E0">
        <w:rPr>
          <w:rFonts w:cs="DIN-Regular"/>
          <w:szCs w:val="20"/>
        </w:rPr>
        <w:t xml:space="preserve"> </w:t>
      </w:r>
      <w:r w:rsidR="00ED59E0" w:rsidRPr="00ED59E0">
        <w:rPr>
          <w:rFonts w:cs="DIN-Regular"/>
          <w:szCs w:val="20"/>
        </w:rPr>
        <w:t>2016</w:t>
      </w:r>
      <w:r w:rsidR="00E744AE" w:rsidRPr="00E744AE">
        <w:rPr>
          <w:rFonts w:cs="DIN-Regular"/>
          <w:szCs w:val="20"/>
        </w:rPr>
        <w:t>. The Propert</w:t>
      </w:r>
      <w:r w:rsidR="00D5201F">
        <w:rPr>
          <w:rFonts w:cs="DIN-Regular"/>
          <w:szCs w:val="20"/>
        </w:rPr>
        <w:t>ies</w:t>
      </w:r>
      <w:r w:rsidR="00E744AE" w:rsidRPr="00E744AE">
        <w:rPr>
          <w:rFonts w:cs="DIN-Regular"/>
          <w:szCs w:val="20"/>
        </w:rPr>
        <w:t xml:space="preserve"> would need to fall in value by approximately </w:t>
      </w:r>
      <w:r w:rsidR="002C0783">
        <w:rPr>
          <w:rFonts w:cs="DIN-Regular"/>
          <w:szCs w:val="20"/>
        </w:rPr>
        <w:t>38.9</w:t>
      </w:r>
      <w:r w:rsidR="00E744AE" w:rsidRPr="00E744AE">
        <w:rPr>
          <w:rFonts w:cs="DIN-Regular"/>
          <w:szCs w:val="20"/>
        </w:rPr>
        <w:t>% for this target covenant to be breached.</w:t>
      </w:r>
    </w:p>
    <w:p w14:paraId="265C844C" w14:textId="5FC5F374" w:rsidR="00E744AE" w:rsidRPr="00E744AE" w:rsidRDefault="004D5540"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Pr>
          <w:rFonts w:cs="DIN-Regular"/>
          <w:szCs w:val="20"/>
        </w:rPr>
        <w:t xml:space="preserve"> and was </w:t>
      </w:r>
      <w:r w:rsidR="00E929DA">
        <w:rPr>
          <w:rFonts w:cs="DIN-Regular"/>
          <w:szCs w:val="20"/>
        </w:rPr>
        <w:t>4.7</w:t>
      </w:r>
      <w:r>
        <w:rPr>
          <w:rFonts w:cs="DIN-Regular"/>
          <w:szCs w:val="20"/>
        </w:rPr>
        <w:t xml:space="preserve"> times at </w:t>
      </w:r>
      <w:r w:rsidR="00ED59E0" w:rsidRPr="00ED59E0">
        <w:rPr>
          <w:rFonts w:cs="DIN-Regular"/>
          <w:szCs w:val="20"/>
        </w:rPr>
        <w:t>30 June 2016</w:t>
      </w:r>
      <w:r w:rsidR="00E744AE" w:rsidRPr="00E744AE">
        <w:rPr>
          <w:rFonts w:cs="DIN-Regular"/>
          <w:szCs w:val="20"/>
        </w:rPr>
        <w:t xml:space="preserve">. </w:t>
      </w:r>
      <w:r>
        <w:rPr>
          <w:rFonts w:cs="DIN-Regular"/>
          <w:szCs w:val="20"/>
        </w:rPr>
        <w:t>N</w:t>
      </w:r>
      <w:r w:rsidR="00E744AE" w:rsidRPr="00E744AE">
        <w:rPr>
          <w:rFonts w:cs="DIN-Regular"/>
          <w:szCs w:val="20"/>
        </w:rPr>
        <w:t xml:space="preserve">et </w:t>
      </w:r>
      <w:r>
        <w:rPr>
          <w:rFonts w:cs="DIN-Regular"/>
          <w:szCs w:val="20"/>
        </w:rPr>
        <w:t xml:space="preserve">Trust </w:t>
      </w:r>
      <w:r w:rsidR="00E744AE" w:rsidRPr="00E744AE">
        <w:rPr>
          <w:rFonts w:cs="DIN-Regular"/>
          <w:szCs w:val="20"/>
        </w:rPr>
        <w:t xml:space="preserve">income would need to fall by approximately </w:t>
      </w:r>
      <w:r w:rsidR="00E929DA">
        <w:rPr>
          <w:rFonts w:cs="DIN-Regular"/>
          <w:szCs w:val="20"/>
        </w:rPr>
        <w:t>57</w:t>
      </w:r>
      <w:r w:rsidR="00E744AE" w:rsidRPr="00E744AE">
        <w:rPr>
          <w:rFonts w:cs="DIN-Regular"/>
          <w:szCs w:val="20"/>
        </w:rPr>
        <w:t xml:space="preserve">% or the interest expense would need to increase by approximately </w:t>
      </w:r>
      <w:r w:rsidR="00B023EA">
        <w:rPr>
          <w:rFonts w:cs="DIN-Regular"/>
          <w:szCs w:val="20"/>
        </w:rPr>
        <w:t>1</w:t>
      </w:r>
      <w:r w:rsidR="00E929DA">
        <w:rPr>
          <w:rFonts w:cs="DIN-Regular"/>
          <w:szCs w:val="20"/>
        </w:rPr>
        <w:t>34</w:t>
      </w:r>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p>
    <w:p w14:paraId="464C2383" w14:textId="77777777" w:rsidR="00E744AE" w:rsidRDefault="00E744AE">
      <w:pPr>
        <w:pStyle w:val="Heading2"/>
      </w:pPr>
      <w:r w:rsidRPr="00E744AE">
        <w:t>Hedging</w:t>
      </w:r>
    </w:p>
    <w:p w14:paraId="71FB3280"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14:paraId="4CCD5781" w14:textId="77777777" w:rsidR="00620DFD" w:rsidRPr="00B73985" w:rsidRDefault="00620DFD" w:rsidP="00620DFD">
      <w:pPr>
        <w:autoSpaceDE w:val="0"/>
        <w:autoSpaceDN w:val="0"/>
        <w:adjustRightInd w:val="0"/>
        <w:jc w:val="both"/>
        <w:rPr>
          <w:rFonts w:cs="DIN-Regular"/>
          <w:szCs w:val="20"/>
        </w:rPr>
      </w:pPr>
      <w:r w:rsidRPr="00B73985">
        <w:rPr>
          <w:rFonts w:cs="DIN-Regular"/>
          <w:szCs w:val="20"/>
        </w:rPr>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14:paraId="7CA2C534" w14:textId="768E96FF" w:rsidR="005E539C" w:rsidRDefault="00CF4156">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E744AE" w:rsidRPr="00E744AE">
        <w:rPr>
          <w:rFonts w:cs="DIN-Regular"/>
          <w:szCs w:val="20"/>
        </w:rPr>
        <w:t>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w:t>
      </w:r>
      <w:r w:rsidR="005858E1">
        <w:rPr>
          <w:rFonts w:cs="DIN-Regular"/>
          <w:szCs w:val="20"/>
        </w:rPr>
        <w:t>October 2020</w:t>
      </w:r>
      <w:r w:rsidR="00680B55">
        <w:rPr>
          <w:rFonts w:cs="DIN-Regular"/>
          <w:szCs w:val="20"/>
        </w:rPr>
        <w:t>.</w:t>
      </w:r>
    </w:p>
    <w:p w14:paraId="0B7457D3" w14:textId="6473A887"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CF4156">
        <w:rPr>
          <w:rFonts w:eastAsiaTheme="minorHAnsi"/>
        </w:rPr>
        <w:t>CFM</w:t>
      </w:r>
      <w:r w:rsidR="00CF4156" w:rsidRPr="00A809A9">
        <w:rPr>
          <w:rFonts w:eastAsiaTheme="minorHAnsi"/>
        </w:rPr>
        <w:t xml:space="preserve"> </w:t>
      </w:r>
      <w:r w:rsidRPr="00E744AE">
        <w:rPr>
          <w:rFonts w:cs="DIN-Regular"/>
          <w:szCs w:val="20"/>
        </w:rPr>
        <w:t>determines that it is in the</w:t>
      </w:r>
      <w:r w:rsidR="0095292F">
        <w:rPr>
          <w:rFonts w:cs="DIN-Regular"/>
          <w:szCs w:val="20"/>
        </w:rPr>
        <w:t xml:space="preserve"> </w:t>
      </w:r>
      <w:r w:rsidRPr="00E744AE">
        <w:rPr>
          <w:rFonts w:cs="DIN-Regular"/>
          <w:szCs w:val="20"/>
        </w:rPr>
        <w:t xml:space="preserve">best interests of </w:t>
      </w:r>
      <w:r w:rsidR="00053636">
        <w:rPr>
          <w:rFonts w:cs="DIN-Regular"/>
          <w:szCs w:val="20"/>
        </w:rPr>
        <w:t>unitholders</w:t>
      </w:r>
      <w:r w:rsidR="00053636" w:rsidRPr="00E744AE">
        <w:rPr>
          <w:rFonts w:cs="DIN-Regular"/>
          <w:szCs w:val="20"/>
        </w:rPr>
        <w:t xml:space="preserve"> </w:t>
      </w:r>
      <w:r w:rsidRPr="00E744AE">
        <w:rPr>
          <w:rFonts w:cs="DIN-Regular"/>
          <w:szCs w:val="20"/>
        </w:rPr>
        <w:t>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CF4156">
        <w:rPr>
          <w:rFonts w:eastAsiaTheme="minorHAnsi"/>
        </w:rPr>
        <w:t>CFM</w:t>
      </w:r>
      <w:r w:rsidR="00CF4156" w:rsidRPr="00A809A9">
        <w:rPr>
          <w:rFonts w:eastAsiaTheme="minorHAnsi"/>
        </w:rPr>
        <w:t xml:space="preserve"> </w:t>
      </w:r>
      <w:r w:rsidR="00B73985" w:rsidRPr="00B73985">
        <w:rPr>
          <w:rFonts w:cs="DIN-Regular"/>
          <w:szCs w:val="20"/>
        </w:rPr>
        <w:t>may further extend the hedge profile of the Trust in the future where it is considered prudent or cost effective to do so.</w:t>
      </w:r>
    </w:p>
    <w:p w14:paraId="0959FDEA" w14:textId="77777777" w:rsidR="00181CFA" w:rsidRDefault="00181CFA" w:rsidP="00605D1C">
      <w:pPr>
        <w:pStyle w:val="Heading1"/>
      </w:pPr>
      <w:r w:rsidRPr="00181CFA">
        <w:lastRenderedPageBreak/>
        <w:t xml:space="preserve">Distribution </w:t>
      </w:r>
      <w:r w:rsidR="00EE5D1D">
        <w:t>Practices</w:t>
      </w:r>
    </w:p>
    <w:p w14:paraId="5C6EBFB1" w14:textId="77777777" w:rsidR="00644B85" w:rsidRDefault="00644B85" w:rsidP="00EE2FB4">
      <w:pPr>
        <w:autoSpaceDE w:val="0"/>
        <w:autoSpaceDN w:val="0"/>
        <w:adjustRightInd w:val="0"/>
        <w:jc w:val="both"/>
        <w:rPr>
          <w:rFonts w:cs="DIN-Regular"/>
          <w:szCs w:val="20"/>
        </w:rPr>
      </w:pPr>
      <w:r>
        <w:rPr>
          <w:rFonts w:cs="DIN-Regular"/>
          <w:szCs w:val="20"/>
        </w:rPr>
        <w:t>D</w:t>
      </w:r>
      <w:r w:rsidR="00203346">
        <w:rPr>
          <w:rFonts w:cs="DIN-Regular"/>
          <w:szCs w:val="20"/>
        </w:rPr>
        <w:t>istributions</w:t>
      </w:r>
      <w:r w:rsidR="00203346" w:rsidRPr="00B73985">
        <w:rPr>
          <w:rFonts w:cs="DIN-Regular"/>
          <w:szCs w:val="20"/>
        </w:rPr>
        <w:t xml:space="preserve"> </w:t>
      </w:r>
      <w:r w:rsidR="00614531">
        <w:rPr>
          <w:rFonts w:cs="DIN-Regular"/>
          <w:szCs w:val="20"/>
        </w:rPr>
        <w:t>are</w:t>
      </w:r>
      <w:r w:rsidR="004E383D" w:rsidRPr="00B73985">
        <w:rPr>
          <w:rFonts w:cs="DIN-Regular"/>
          <w:szCs w:val="20"/>
        </w:rPr>
        <w:t xml:space="preserve"> </w:t>
      </w:r>
      <w:r w:rsidR="00B73985" w:rsidRPr="00B73985">
        <w:rPr>
          <w:rFonts w:cs="DIN-Regular"/>
          <w:szCs w:val="20"/>
        </w:rPr>
        <w:t xml:space="preserve">paid from </w:t>
      </w:r>
      <w:r>
        <w:rPr>
          <w:rFonts w:cs="DIN-Regular"/>
          <w:szCs w:val="20"/>
        </w:rPr>
        <w:t>cash from operations</w:t>
      </w:r>
      <w:r w:rsidR="00614531">
        <w:rPr>
          <w:rFonts w:cs="DIN-Regular"/>
          <w:szCs w:val="20"/>
        </w:rPr>
        <w:t xml:space="preserve"> and </w:t>
      </w:r>
      <w:r>
        <w:rPr>
          <w:rFonts w:cs="DIN-Regular"/>
          <w:szCs w:val="20"/>
        </w:rPr>
        <w:t>realised gains resulting from the sale of Dorcas Street</w:t>
      </w:r>
      <w:r w:rsidR="009879FB">
        <w:rPr>
          <w:rFonts w:cs="DIN-Regular"/>
          <w:szCs w:val="20"/>
        </w:rPr>
        <w:t>,</w:t>
      </w:r>
      <w:r>
        <w:rPr>
          <w:rFonts w:cs="DIN-Regular"/>
          <w:szCs w:val="20"/>
        </w:rPr>
        <w:t xml:space="preserve"> </w:t>
      </w:r>
      <w:r w:rsidR="00040F6B">
        <w:rPr>
          <w:rFonts w:cs="DIN-Regular"/>
          <w:szCs w:val="20"/>
        </w:rPr>
        <w:t xml:space="preserve">South </w:t>
      </w:r>
      <w:r w:rsidR="00CC3496">
        <w:rPr>
          <w:rFonts w:cs="DIN-Regular"/>
          <w:szCs w:val="20"/>
        </w:rPr>
        <w:t xml:space="preserve">Melbourne </w:t>
      </w:r>
      <w:r>
        <w:rPr>
          <w:rFonts w:cs="DIN-Regular"/>
          <w:szCs w:val="20"/>
        </w:rPr>
        <w:t>in August 2015</w:t>
      </w:r>
      <w:r w:rsidR="00B73985" w:rsidRPr="00B73985">
        <w:rPr>
          <w:rFonts w:cs="DIN-Regular"/>
          <w:szCs w:val="20"/>
        </w:rPr>
        <w:t xml:space="preserve">. </w:t>
      </w:r>
    </w:p>
    <w:p w14:paraId="1FBCC04B" w14:textId="4415256D" w:rsidR="00BC0D6A" w:rsidRDefault="00BC0D6A" w:rsidP="001670AD">
      <w:pPr>
        <w:autoSpaceDE w:val="0"/>
        <w:autoSpaceDN w:val="0"/>
        <w:adjustRightInd w:val="0"/>
        <w:jc w:val="both"/>
        <w:rPr>
          <w:rFonts w:cs="DIN-Regular"/>
          <w:szCs w:val="20"/>
        </w:rPr>
      </w:pPr>
      <w:r>
        <w:rPr>
          <w:rFonts w:cs="DIN-Regular"/>
          <w:szCs w:val="20"/>
        </w:rPr>
        <w:t xml:space="preserve">The </w:t>
      </w:r>
      <w:r w:rsidR="009879FB">
        <w:rPr>
          <w:rFonts w:cs="DIN-Regular"/>
          <w:szCs w:val="20"/>
        </w:rPr>
        <w:t>risks of relying on realised gains to partly fund distributions are</w:t>
      </w:r>
      <w:r w:rsidR="003F6A46">
        <w:rPr>
          <w:rFonts w:cs="DIN-Regular"/>
          <w:szCs w:val="20"/>
        </w:rPr>
        <w:t xml:space="preserve"> </w:t>
      </w:r>
      <w:r w:rsidR="009879FB">
        <w:rPr>
          <w:rFonts w:cs="DIN-Regular"/>
          <w:szCs w:val="20"/>
        </w:rPr>
        <w:t>their one-off nature</w:t>
      </w:r>
      <w:r w:rsidR="003F6A46">
        <w:rPr>
          <w:rFonts w:cs="DIN-Regular"/>
          <w:szCs w:val="20"/>
        </w:rPr>
        <w:t xml:space="preserve">.  </w:t>
      </w:r>
      <w:r w:rsidR="00CF4156">
        <w:rPr>
          <w:rFonts w:eastAsiaTheme="minorHAnsi"/>
        </w:rPr>
        <w:t>CFM</w:t>
      </w:r>
      <w:r w:rsidR="00CF4156" w:rsidRPr="00A809A9">
        <w:rPr>
          <w:rFonts w:eastAsiaTheme="minorHAnsi"/>
        </w:rPr>
        <w:t xml:space="preserve"> </w:t>
      </w:r>
      <w:r w:rsidR="003F6A46">
        <w:rPr>
          <w:rFonts w:cs="DIN-Regular"/>
          <w:szCs w:val="20"/>
        </w:rPr>
        <w:t xml:space="preserve">recognises the short term payment from realised gains and the </w:t>
      </w:r>
      <w:r>
        <w:rPr>
          <w:rFonts w:cs="DIN-Regular"/>
          <w:szCs w:val="20"/>
        </w:rPr>
        <w:t xml:space="preserve">Trust </w:t>
      </w:r>
      <w:r w:rsidR="009879FB">
        <w:rPr>
          <w:rFonts w:cs="DIN-Regular"/>
          <w:szCs w:val="20"/>
        </w:rPr>
        <w:t>is forecast</w:t>
      </w:r>
      <w:r>
        <w:rPr>
          <w:rFonts w:cs="DIN-Regular"/>
          <w:szCs w:val="20"/>
        </w:rPr>
        <w:t xml:space="preserve"> to fund distribution</w:t>
      </w:r>
      <w:r w:rsidR="009879FB">
        <w:rPr>
          <w:rFonts w:cs="DIN-Regular"/>
          <w:szCs w:val="20"/>
        </w:rPr>
        <w:t>s</w:t>
      </w:r>
      <w:r>
        <w:rPr>
          <w:rFonts w:cs="DIN-Regular"/>
          <w:szCs w:val="20"/>
        </w:rPr>
        <w:t xml:space="preserve"> </w:t>
      </w:r>
      <w:r w:rsidR="009879FB">
        <w:rPr>
          <w:rFonts w:cs="DIN-Regular"/>
          <w:szCs w:val="20"/>
        </w:rPr>
        <w:t xml:space="preserve">solely </w:t>
      </w:r>
      <w:r>
        <w:rPr>
          <w:rFonts w:cs="DIN-Regular"/>
          <w:szCs w:val="20"/>
        </w:rPr>
        <w:t xml:space="preserve">through cash from operations by </w:t>
      </w:r>
      <w:r w:rsidR="009879FB">
        <w:rPr>
          <w:rFonts w:cs="DIN-Regular"/>
          <w:szCs w:val="20"/>
        </w:rPr>
        <w:t>December 2017.</w:t>
      </w:r>
    </w:p>
    <w:p w14:paraId="2729D2AB" w14:textId="7A498D07" w:rsidR="001670AD" w:rsidRPr="002B1F96" w:rsidRDefault="00CF4156" w:rsidP="001670AD">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1670AD" w:rsidRPr="002B1F96">
        <w:rPr>
          <w:rFonts w:cs="DIN-Regular"/>
          <w:szCs w:val="20"/>
        </w:rPr>
        <w:t>considers the Trust’s distributions to be sustainable from the Trust’s available cash</w:t>
      </w:r>
      <w:r w:rsidR="001670AD">
        <w:rPr>
          <w:rFonts w:cs="DIN-Regular"/>
          <w:szCs w:val="20"/>
        </w:rPr>
        <w:t xml:space="preserve"> resources</w:t>
      </w:r>
      <w:r w:rsidR="001670AD" w:rsidRPr="002B1F96">
        <w:rPr>
          <w:rFonts w:cs="DIN-Regular"/>
          <w:szCs w:val="20"/>
        </w:rPr>
        <w:t xml:space="preserve"> for at least 12 months</w:t>
      </w:r>
      <w:r w:rsidR="001670AD">
        <w:rPr>
          <w:rFonts w:cs="DIN-Regular"/>
          <w:szCs w:val="20"/>
        </w:rPr>
        <w:t xml:space="preserve"> into the future</w:t>
      </w:r>
      <w:r w:rsidR="001670AD" w:rsidRPr="002B1F96">
        <w:rPr>
          <w:rFonts w:cs="DIN-Regular"/>
          <w:szCs w:val="20"/>
        </w:rPr>
        <w:t>.</w:t>
      </w:r>
    </w:p>
    <w:p w14:paraId="0A83A04C" w14:textId="77777777" w:rsidR="00181CFA" w:rsidRPr="00181CFA" w:rsidRDefault="00181CFA" w:rsidP="003F59DB">
      <w:pPr>
        <w:pStyle w:val="Heading1"/>
      </w:pPr>
      <w:r w:rsidRPr="00181CFA">
        <w:t>Withdrawal Arrangements</w:t>
      </w:r>
    </w:p>
    <w:p w14:paraId="76A94398" w14:textId="77777777"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bookmarkStart w:id="0" w:name="_GoBack"/>
      <w:r w:rsidR="00D22FC7">
        <w:rPr>
          <w:rFonts w:cs="DIN-Regular"/>
          <w:szCs w:val="20"/>
        </w:rPr>
        <w:t>October</w:t>
      </w:r>
      <w:bookmarkEnd w:id="0"/>
      <w:r w:rsidR="00D22FC7">
        <w:rPr>
          <w:rFonts w:cs="DIN-Regular"/>
          <w:szCs w:val="20"/>
        </w:rPr>
        <w:t xml:space="preserve"> 2020</w:t>
      </w:r>
      <w:r w:rsidRPr="00B73985">
        <w:rPr>
          <w:rFonts w:cs="DIN-Regular"/>
          <w:szCs w:val="20"/>
        </w:rPr>
        <w:t xml:space="preserve">. No withdrawal facility is </w:t>
      </w:r>
      <w:r w:rsidR="00EE2FB4">
        <w:rPr>
          <w:rFonts w:cs="DIN-Regular"/>
          <w:szCs w:val="20"/>
        </w:rPr>
        <w:t xml:space="preserve">expected to be </w:t>
      </w:r>
      <w:r w:rsidRPr="00B73985">
        <w:rPr>
          <w:rFonts w:cs="DIN-Regular"/>
          <w:szCs w:val="20"/>
        </w:rPr>
        <w:t>offered prior to this date</w:t>
      </w:r>
      <w:r w:rsidR="00947882" w:rsidRPr="00B73985">
        <w:rPr>
          <w:rFonts w:cs="DIN-Regular"/>
          <w:szCs w:val="20"/>
        </w:rPr>
        <w:t>.</w:t>
      </w:r>
    </w:p>
    <w:p w14:paraId="56932311" w14:textId="77777777" w:rsidR="00181CFA" w:rsidRDefault="00181CFA" w:rsidP="00605D1C">
      <w:pPr>
        <w:pStyle w:val="Heading1"/>
      </w:pPr>
      <w:r w:rsidRPr="00181CFA">
        <w:t>Related Party Transactions</w:t>
      </w:r>
    </w:p>
    <w:p w14:paraId="65B51EF6" w14:textId="72B43BDA" w:rsidR="00620DFD" w:rsidRDefault="00CF4156" w:rsidP="00B73985">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620DFD" w:rsidRPr="00B73985">
        <w:rPr>
          <w:rFonts w:cs="DIN-Regular"/>
          <w:szCs w:val="20"/>
        </w:rPr>
        <w:t>recognises that it is important that related party transactions are appropriately managed because of the inherent</w:t>
      </w:r>
      <w:r w:rsidR="00620DFD">
        <w:rPr>
          <w:rFonts w:cs="DIN-Regular"/>
          <w:szCs w:val="20"/>
        </w:rPr>
        <w:t xml:space="preserve"> </w:t>
      </w:r>
      <w:r w:rsidR="00620DFD" w:rsidRPr="00B73985">
        <w:rPr>
          <w:rFonts w:cs="DIN-Regular"/>
          <w:szCs w:val="20"/>
        </w:rPr>
        <w:t>risk that they may be mutually assessed and then reviewed less vigorously than transactions with external parties.</w:t>
      </w:r>
    </w:p>
    <w:p w14:paraId="7071B0C3" w14:textId="07691335" w:rsidR="00620DFD" w:rsidRDefault="00CF4156" w:rsidP="00B73985">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B73985" w:rsidRPr="00B73985">
        <w:rPr>
          <w:rFonts w:cs="DIN-Regular"/>
          <w:szCs w:val="20"/>
        </w:rPr>
        <w:t>has, and complies with, written policies with regard to related party transactions. The policies cover, amongst other</w:t>
      </w:r>
      <w:r w:rsidR="00141028">
        <w:rPr>
          <w:rFonts w:cs="DIN-Regular"/>
          <w:szCs w:val="20"/>
        </w:rPr>
        <w:t xml:space="preserve"> </w:t>
      </w:r>
      <w:r w:rsidR="00B73985"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00B73985" w:rsidRPr="00B73985">
        <w:rPr>
          <w:rFonts w:cs="DIN-Regular"/>
          <w:szCs w:val="20"/>
        </w:rPr>
        <w:t>All related party transactions require Board approval and the Board will only approve transactions if they are satisfied</w:t>
      </w:r>
      <w:r w:rsidR="00141028">
        <w:rPr>
          <w:rFonts w:cs="DIN-Regular"/>
          <w:szCs w:val="20"/>
        </w:rPr>
        <w:t xml:space="preserve"> </w:t>
      </w:r>
      <w:r w:rsidR="00B73985" w:rsidRPr="00B73985">
        <w:rPr>
          <w:rFonts w:cs="DIN-Regular"/>
          <w:szCs w:val="20"/>
        </w:rPr>
        <w:t>that the</w:t>
      </w:r>
      <w:r w:rsidR="00F27F88">
        <w:rPr>
          <w:rFonts w:cs="DIN-Regular"/>
          <w:szCs w:val="20"/>
        </w:rPr>
        <w:t xml:space="preserve"> transactions</w:t>
      </w:r>
      <w:r w:rsidR="00B73985" w:rsidRPr="00B73985">
        <w:rPr>
          <w:rFonts w:cs="DIN-Regular"/>
          <w:szCs w:val="20"/>
        </w:rPr>
        <w:t xml:space="preserve"> are on arm</w:t>
      </w:r>
      <w:r w:rsidR="00F27F88">
        <w:rPr>
          <w:rFonts w:cs="DIN-Regular"/>
          <w:szCs w:val="20"/>
        </w:rPr>
        <w:t>’</w:t>
      </w:r>
      <w:r w:rsidR="00B73985" w:rsidRPr="00B73985">
        <w:rPr>
          <w:rFonts w:cs="DIN-Regular"/>
          <w:szCs w:val="20"/>
        </w:rPr>
        <w:t>s length or better terms</w:t>
      </w:r>
      <w:r w:rsidR="00203346">
        <w:rPr>
          <w:rFonts w:cs="DIN-Regular"/>
          <w:szCs w:val="20"/>
        </w:rPr>
        <w:t xml:space="preserve"> to the Trust</w:t>
      </w:r>
      <w:r w:rsidR="00B73985" w:rsidRPr="00B73985">
        <w:rPr>
          <w:rFonts w:cs="DIN-Regular"/>
          <w:szCs w:val="20"/>
        </w:rPr>
        <w:t xml:space="preserve">. Otherwise, unless another exception is available under the </w:t>
      </w:r>
      <w:r w:rsidR="00B73985" w:rsidRPr="004022F9">
        <w:rPr>
          <w:rFonts w:cs="DIN-Regular"/>
          <w:i/>
          <w:szCs w:val="20"/>
        </w:rPr>
        <w:t>Corporations Act</w:t>
      </w:r>
      <w:r w:rsidR="00082E57" w:rsidRPr="004022F9">
        <w:rPr>
          <w:rFonts w:cs="DIN-Regular"/>
          <w:i/>
          <w:szCs w:val="20"/>
        </w:rPr>
        <w:t xml:space="preserve"> 2001</w:t>
      </w:r>
      <w:r w:rsidR="00082E57">
        <w:rPr>
          <w:rFonts w:cs="DIN-Regular"/>
          <w:szCs w:val="20"/>
        </w:rPr>
        <w:t xml:space="preserve"> (</w:t>
      </w:r>
      <w:proofErr w:type="spellStart"/>
      <w:r w:rsidR="00082E57">
        <w:rPr>
          <w:rFonts w:cs="DIN-Regular"/>
          <w:szCs w:val="20"/>
        </w:rPr>
        <w:t>Cth</w:t>
      </w:r>
      <w:proofErr w:type="spellEnd"/>
      <w:r w:rsidR="00082E57">
        <w:rPr>
          <w:rFonts w:cs="DIN-Regular"/>
          <w:szCs w:val="20"/>
        </w:rPr>
        <w:t>)</w:t>
      </w:r>
      <w:r w:rsidR="00B73985" w:rsidRPr="00B73985">
        <w:rPr>
          <w:rFonts w:cs="DIN-Regular"/>
          <w:szCs w:val="20"/>
        </w:rPr>
        <w:t>,</w:t>
      </w:r>
      <w:r w:rsidR="00141028">
        <w:rPr>
          <w:rFonts w:cs="DIN-Regular"/>
          <w:szCs w:val="20"/>
        </w:rPr>
        <w:t xml:space="preserve"> </w:t>
      </w:r>
      <w:r w:rsidR="00B73985" w:rsidRPr="00B73985">
        <w:rPr>
          <w:rFonts w:cs="DIN-Regular"/>
          <w:szCs w:val="20"/>
        </w:rPr>
        <w:t>the transaction would be subject to approval by the Trust’s unitholders.</w:t>
      </w:r>
      <w:r w:rsidR="00141028">
        <w:rPr>
          <w:rFonts w:cs="DIN-Regular"/>
          <w:szCs w:val="20"/>
        </w:rPr>
        <w:t xml:space="preserve"> </w:t>
      </w:r>
    </w:p>
    <w:p w14:paraId="54970A2C" w14:textId="77777777"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w:t>
      </w:r>
      <w:r w:rsidR="00F27F88">
        <w:rPr>
          <w:rFonts w:cs="DIN-Regular"/>
          <w:szCs w:val="20"/>
        </w:rPr>
        <w:t xml:space="preserve"> (</w:t>
      </w:r>
      <w:r w:rsidRPr="00B73985">
        <w:rPr>
          <w:rFonts w:cs="DIN-Regular"/>
          <w:szCs w:val="20"/>
        </w:rPr>
        <w:t>which includes but is not limited to a related party</w:t>
      </w:r>
      <w:r w:rsidR="00F27F88">
        <w:rPr>
          <w:rFonts w:cs="DIN-Regular"/>
          <w:szCs w:val="20"/>
        </w:rPr>
        <w:t xml:space="preserve"> transaction)</w:t>
      </w:r>
      <w:r w:rsidRPr="00B73985">
        <w:rPr>
          <w:rFonts w:cs="DIN-Regular"/>
          <w:szCs w:val="20"/>
        </w:rPr>
        <w:t xml:space="preserve"> is managed in</w:t>
      </w:r>
      <w:r w:rsidR="00141028">
        <w:rPr>
          <w:rFonts w:cs="DIN-Regular"/>
          <w:szCs w:val="20"/>
        </w:rPr>
        <w:t xml:space="preserve"> </w:t>
      </w:r>
      <w:r w:rsidRPr="00B73985">
        <w:rPr>
          <w:rFonts w:cs="DIN-Regular"/>
          <w:szCs w:val="20"/>
        </w:rPr>
        <w:t>accordance with Cromwell’s Conflict of Interest Policy.</w:t>
      </w:r>
      <w:r w:rsidR="00141028">
        <w:rPr>
          <w:rFonts w:cs="DIN-Regular"/>
          <w:szCs w:val="20"/>
        </w:rPr>
        <w:t xml:space="preserve"> </w:t>
      </w:r>
    </w:p>
    <w:p w14:paraId="416E1206" w14:textId="65129937"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Compliance with the Related Party and Conflict of Interest </w:t>
      </w:r>
      <w:r w:rsidR="00F27F88">
        <w:rPr>
          <w:rFonts w:cs="DIN-Regular"/>
          <w:szCs w:val="20"/>
        </w:rPr>
        <w:t>P</w:t>
      </w:r>
      <w:r w:rsidR="00F27F88" w:rsidRPr="00B73985">
        <w:rPr>
          <w:rFonts w:cs="DIN-Regular"/>
          <w:szCs w:val="20"/>
        </w:rPr>
        <w:t xml:space="preserve">olicies </w:t>
      </w:r>
      <w:r w:rsidRPr="00B73985">
        <w:rPr>
          <w:rFonts w:cs="DIN-Regular"/>
          <w:szCs w:val="20"/>
        </w:rPr>
        <w:t>is tested at least annually by Cromwell’s legal</w:t>
      </w:r>
      <w:r w:rsidR="00141028">
        <w:rPr>
          <w:rFonts w:cs="DIN-Regular"/>
          <w:szCs w:val="20"/>
        </w:rPr>
        <w:t xml:space="preserve"> </w:t>
      </w:r>
      <w:r w:rsidRPr="00B73985">
        <w:rPr>
          <w:rFonts w:cs="DIN-Regular"/>
          <w:szCs w:val="20"/>
        </w:rPr>
        <w:t xml:space="preserve">and compliance team. To date, the policies have been complied with by </w:t>
      </w:r>
      <w:r w:rsidR="00CF4156">
        <w:rPr>
          <w:rFonts w:eastAsiaTheme="minorHAnsi"/>
        </w:rPr>
        <w:t>CFM</w:t>
      </w:r>
      <w:r w:rsidRPr="00B73985">
        <w:rPr>
          <w:rFonts w:cs="DIN-Regular"/>
          <w:szCs w:val="20"/>
        </w:rPr>
        <w:t>.</w:t>
      </w:r>
    </w:p>
    <w:p w14:paraId="36B65A6E" w14:textId="20A80DCA" w:rsidR="001670AD" w:rsidRDefault="00CF4156">
      <w:pPr>
        <w:autoSpaceDE w:val="0"/>
        <w:autoSpaceDN w:val="0"/>
        <w:adjustRightInd w:val="0"/>
        <w:jc w:val="both"/>
        <w:rPr>
          <w:rFonts w:cs="DIN-Regular"/>
          <w:szCs w:val="20"/>
        </w:rPr>
      </w:pPr>
      <w:r>
        <w:rPr>
          <w:rFonts w:eastAsiaTheme="minorHAnsi"/>
        </w:rPr>
        <w:t>CFM</w:t>
      </w:r>
      <w:r w:rsidRPr="00A809A9">
        <w:rPr>
          <w:rFonts w:eastAsiaTheme="minorHAnsi"/>
        </w:rPr>
        <w:t xml:space="preserve"> </w:t>
      </w:r>
      <w:r w:rsidR="00B73985" w:rsidRPr="00B73985">
        <w:rPr>
          <w:rFonts w:cs="DIN-Regular"/>
          <w:szCs w:val="20"/>
        </w:rPr>
        <w:t xml:space="preserve">has appointed </w:t>
      </w:r>
      <w:r w:rsidR="00580979">
        <w:rPr>
          <w:rFonts w:cs="DIN-Regular"/>
          <w:szCs w:val="20"/>
        </w:rPr>
        <w:t>some</w:t>
      </w:r>
      <w:r w:rsidR="00BF64A3">
        <w:rPr>
          <w:rFonts w:cs="DIN-Regular"/>
          <w:szCs w:val="20"/>
        </w:rPr>
        <w:t xml:space="preserve"> </w:t>
      </w:r>
      <w:r w:rsidR="00B73985" w:rsidRPr="00B73985">
        <w:rPr>
          <w:rFonts w:cs="DIN-Regular"/>
          <w:szCs w:val="20"/>
        </w:rPr>
        <w:t xml:space="preserve">related entities to provide services to the Trust. Like </w:t>
      </w:r>
      <w:r>
        <w:rPr>
          <w:rFonts w:eastAsiaTheme="minorHAnsi"/>
        </w:rPr>
        <w:t>CFM</w:t>
      </w:r>
      <w:r w:rsidR="00B73985" w:rsidRPr="00B73985">
        <w:rPr>
          <w:rFonts w:cs="DIN-Regular"/>
          <w:szCs w:val="20"/>
        </w:rPr>
        <w:t>, those related entities</w:t>
      </w:r>
      <w:r w:rsidR="00141028">
        <w:rPr>
          <w:rFonts w:cs="DIN-Regular"/>
          <w:szCs w:val="20"/>
        </w:rPr>
        <w:t xml:space="preserve"> </w:t>
      </w:r>
      <w:r w:rsidR="00B73985" w:rsidRPr="00B73985">
        <w:rPr>
          <w:rFonts w:cs="DIN-Regular"/>
          <w:szCs w:val="20"/>
        </w:rPr>
        <w:t xml:space="preserve">are all wholly owned subsidiaries of the </w:t>
      </w:r>
      <w:r w:rsidR="00916626">
        <w:rPr>
          <w:rFonts w:cs="DIN-Regular"/>
          <w:szCs w:val="20"/>
        </w:rPr>
        <w:t>Cromwell Corporation Limited</w:t>
      </w:r>
      <w:r w:rsidR="00B73985" w:rsidRPr="00B73985">
        <w:rPr>
          <w:rFonts w:cs="DIN-Regular"/>
          <w:szCs w:val="20"/>
        </w:rPr>
        <w:t>. They include Cromwell Property Services Pty Ltd</w:t>
      </w:r>
      <w:r w:rsidR="00F27F88">
        <w:rPr>
          <w:rFonts w:cs="DIN-Regular"/>
          <w:szCs w:val="20"/>
        </w:rPr>
        <w:t xml:space="preserve"> (</w:t>
      </w:r>
      <w:r w:rsidR="00B73985" w:rsidRPr="00B73985">
        <w:rPr>
          <w:rFonts w:cs="DIN-Regular"/>
          <w:szCs w:val="20"/>
        </w:rPr>
        <w:t>which</w:t>
      </w:r>
      <w:r w:rsidR="00141028">
        <w:rPr>
          <w:rFonts w:cs="DIN-Regular"/>
          <w:szCs w:val="20"/>
        </w:rPr>
        <w:t xml:space="preserve"> </w:t>
      </w:r>
      <w:r w:rsidR="00B73985" w:rsidRPr="00B73985">
        <w:rPr>
          <w:rFonts w:cs="DIN-Regular"/>
          <w:szCs w:val="20"/>
        </w:rPr>
        <w:t>provide</w:t>
      </w:r>
      <w:r w:rsidR="00800F93">
        <w:rPr>
          <w:rFonts w:cs="DIN-Regular"/>
          <w:szCs w:val="20"/>
        </w:rPr>
        <w:t>s</w:t>
      </w:r>
      <w:r w:rsidR="00B73985" w:rsidRPr="00B73985">
        <w:rPr>
          <w:rFonts w:cs="DIN-Regular"/>
          <w:szCs w:val="20"/>
        </w:rPr>
        <w:t xml:space="preserve"> property</w:t>
      </w:r>
      <w:r w:rsidR="00580979">
        <w:rPr>
          <w:rFonts w:cs="DIN-Regular"/>
          <w:szCs w:val="20"/>
        </w:rPr>
        <w:t>,</w:t>
      </w:r>
      <w:r w:rsidR="00B73985" w:rsidRPr="00B73985">
        <w:rPr>
          <w:rFonts w:cs="DIN-Regular"/>
          <w:szCs w:val="20"/>
        </w:rPr>
        <w:t xml:space="preserve"> facility management and leasing services</w:t>
      </w:r>
      <w:r w:rsidR="009814E1">
        <w:rPr>
          <w:rFonts w:cs="DIN-Regular"/>
          <w:szCs w:val="20"/>
        </w:rPr>
        <w:t xml:space="preserve"> to the Trust</w:t>
      </w:r>
      <w:r w:rsidR="00F27F88">
        <w:rPr>
          <w:rFonts w:cs="DIN-Regular"/>
          <w:szCs w:val="20"/>
        </w:rPr>
        <w:t>)</w:t>
      </w:r>
      <w:r w:rsidR="00800F93">
        <w:rPr>
          <w:rFonts w:cs="DIN-Regular"/>
          <w:szCs w:val="20"/>
        </w:rPr>
        <w:t xml:space="preserve">, </w:t>
      </w:r>
      <w:r w:rsidR="009A021C" w:rsidRPr="0022664A">
        <w:t>Cromwell Project &amp;</w:t>
      </w:r>
      <w:r w:rsidR="009A021C" w:rsidRPr="00BD0AE6">
        <w:t xml:space="preserve"> Technical Solutions Pty Ltd (which provides project management services to the </w:t>
      </w:r>
      <w:r w:rsidR="009A021C">
        <w:t>Trust</w:t>
      </w:r>
      <w:r w:rsidR="009A021C" w:rsidRPr="00BD0AE6">
        <w:t xml:space="preserve"> in relation to the </w:t>
      </w:r>
      <w:r w:rsidR="009A021C" w:rsidRPr="00B06172">
        <w:t>direct property assets)</w:t>
      </w:r>
      <w:r w:rsidR="009A021C">
        <w:t xml:space="preserve">, </w:t>
      </w:r>
      <w:r w:rsidR="009A021C">
        <w:rPr>
          <w:rFonts w:cs="DIN-Regular"/>
          <w:szCs w:val="20"/>
        </w:rPr>
        <w:t xml:space="preserve">Cromwell </w:t>
      </w:r>
      <w:r w:rsidR="009A021C" w:rsidRPr="00EF15BA">
        <w:t xml:space="preserve">Capital Pty Ltd (which provides </w:t>
      </w:r>
      <w:r w:rsidR="009A021C" w:rsidRPr="00B66F4F">
        <w:t>financ</w:t>
      </w:r>
      <w:r w:rsidR="009A021C">
        <w:t>e</w:t>
      </w:r>
      <w:r w:rsidR="009A021C" w:rsidRPr="00B66F4F">
        <w:t xml:space="preserve"> arrangement</w:t>
      </w:r>
      <w:r w:rsidR="009A021C" w:rsidRPr="0022664A">
        <w:t xml:space="preserve"> services to the </w:t>
      </w:r>
      <w:r w:rsidR="009A021C">
        <w:t>Trust</w:t>
      </w:r>
      <w:r w:rsidR="009A021C" w:rsidRPr="0022664A">
        <w:t>)</w:t>
      </w:r>
      <w:r w:rsidR="009A021C">
        <w:t xml:space="preserve"> </w:t>
      </w:r>
      <w:r w:rsidR="00B73985" w:rsidRPr="00B73985">
        <w:rPr>
          <w:rFonts w:cs="DIN-Regular"/>
          <w:szCs w:val="20"/>
        </w:rPr>
        <w:t>and</w:t>
      </w:r>
      <w:r w:rsidR="00141028">
        <w:rPr>
          <w:rFonts w:cs="DIN-Regular"/>
          <w:szCs w:val="20"/>
        </w:rPr>
        <w:t xml:space="preserve"> </w:t>
      </w:r>
      <w:r w:rsidR="00B73985" w:rsidRPr="00B73985">
        <w:rPr>
          <w:rFonts w:cs="DIN-Regular"/>
          <w:szCs w:val="20"/>
        </w:rPr>
        <w:t>Cromwell Operations Pty Ltd</w:t>
      </w:r>
      <w:r w:rsidR="00F27F88">
        <w:rPr>
          <w:rFonts w:cs="DIN-Regular"/>
          <w:szCs w:val="20"/>
        </w:rPr>
        <w:t xml:space="preserve"> (</w:t>
      </w:r>
      <w:r w:rsidR="00B73985" w:rsidRPr="00B73985">
        <w:rPr>
          <w:rFonts w:cs="DIN-Regular"/>
          <w:szCs w:val="20"/>
        </w:rPr>
        <w:t>which provides accounting and other administrative services to the Trust</w:t>
      </w:r>
      <w:r w:rsidR="00F27F88">
        <w:rPr>
          <w:rFonts w:cs="DIN-Regular"/>
          <w:szCs w:val="20"/>
        </w:rPr>
        <w:t>)</w:t>
      </w:r>
      <w:r w:rsidR="00B73985" w:rsidRPr="00B73985">
        <w:rPr>
          <w:rFonts w:cs="DIN-Regular"/>
          <w:szCs w:val="20"/>
        </w:rPr>
        <w:t xml:space="preserve">. </w:t>
      </w:r>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paid approximately </w:t>
      </w:r>
      <w:r w:rsidR="00580979" w:rsidRPr="00F5536B">
        <w:rPr>
          <w:rFonts w:cs="DIN-Regular"/>
          <w:szCs w:val="20"/>
        </w:rPr>
        <w:t>$</w:t>
      </w:r>
      <w:r w:rsidR="00072C83">
        <w:rPr>
          <w:rFonts w:cs="DIN-Regular"/>
          <w:szCs w:val="20"/>
        </w:rPr>
        <w:t>295</w:t>
      </w:r>
      <w:r w:rsidR="00580979" w:rsidRPr="00F5536B">
        <w:rPr>
          <w:rFonts w:cs="DIN-Regular"/>
          <w:szCs w:val="20"/>
        </w:rPr>
        <w:t>,000</w:t>
      </w:r>
      <w:r w:rsidR="00580979" w:rsidRPr="00B73985">
        <w:rPr>
          <w:rFonts w:cs="DIN-Regular"/>
          <w:szCs w:val="20"/>
        </w:rPr>
        <w:t xml:space="preserve"> per annum in fees 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r w:rsidR="00072C83">
        <w:rPr>
          <w:rFonts w:cs="DIN-Regular"/>
          <w:szCs w:val="20"/>
        </w:rPr>
        <w:t>55</w:t>
      </w:r>
      <w:r w:rsidR="00B34CC3" w:rsidRPr="001B5E28">
        <w:rPr>
          <w:rFonts w:cs="DIN-Regular"/>
          <w:szCs w:val="20"/>
        </w:rPr>
        <w:t>,000</w:t>
      </w:r>
      <w:r w:rsidR="00580979" w:rsidRPr="00B73985">
        <w:rPr>
          <w:rFonts w:cs="DIN-Regular"/>
          <w:szCs w:val="20"/>
        </w:rPr>
        <w:t xml:space="preserve"> per annum. </w:t>
      </w:r>
      <w:r w:rsidR="00B73985" w:rsidRPr="00B73985">
        <w:rPr>
          <w:rFonts w:cs="DIN-Regular"/>
          <w:szCs w:val="20"/>
        </w:rPr>
        <w:t>Related party arrangements are reviewed annually and are entered into on arm’s length</w:t>
      </w:r>
      <w:r w:rsidR="00141028">
        <w:rPr>
          <w:rFonts w:cs="DIN-Regular"/>
          <w:szCs w:val="20"/>
        </w:rPr>
        <w:t xml:space="preserve"> </w:t>
      </w:r>
      <w:r w:rsidR="00B73985" w:rsidRPr="00B73985">
        <w:rPr>
          <w:rFonts w:cs="DIN-Regular"/>
          <w:szCs w:val="20"/>
        </w:rPr>
        <w:t>terms.</w:t>
      </w:r>
      <w:r w:rsidR="00082E57" w:rsidRPr="00082E57">
        <w:rPr>
          <w:rFonts w:cs="DIN-Regular"/>
          <w:szCs w:val="20"/>
        </w:rPr>
        <w:t xml:space="preserve"> </w:t>
      </w:r>
      <w:r w:rsidR="00082E57">
        <w:rPr>
          <w:rFonts w:cs="DIN-Regular"/>
          <w:szCs w:val="20"/>
        </w:rPr>
        <w:t xml:space="preserve">Cromwell Project &amp; Technical Solutions Pty Ltd </w:t>
      </w:r>
      <w:r w:rsidR="00F51EA5">
        <w:rPr>
          <w:rFonts w:cs="DIN-Regular"/>
          <w:szCs w:val="20"/>
        </w:rPr>
        <w:t xml:space="preserve">was paid approximately $41,000 for the 2016 financial year </w:t>
      </w:r>
      <w:r w:rsidR="00082E57">
        <w:rPr>
          <w:rFonts w:cs="DIN-Regular"/>
          <w:szCs w:val="20"/>
        </w:rPr>
        <w:t xml:space="preserve">and Cromwell Capital Pty Ltd </w:t>
      </w:r>
      <w:r w:rsidR="00082E57">
        <w:rPr>
          <w:szCs w:val="20"/>
        </w:rPr>
        <w:t xml:space="preserve">did not receive any fees during the 2016 financial year. </w:t>
      </w:r>
      <w:r w:rsidR="00082E57" w:rsidRPr="002B1F96">
        <w:rPr>
          <w:rFonts w:cs="DIN-Regular"/>
          <w:szCs w:val="20"/>
        </w:rPr>
        <w:t>Related party arrangements are reviewed</w:t>
      </w:r>
      <w:r w:rsidR="00082E57">
        <w:rPr>
          <w:rFonts w:cs="DIN-Regular"/>
          <w:szCs w:val="20"/>
        </w:rPr>
        <w:t xml:space="preserve"> </w:t>
      </w:r>
      <w:r w:rsidR="00082E57" w:rsidRPr="002B1F96">
        <w:rPr>
          <w:rFonts w:cs="DIN-Regular"/>
          <w:szCs w:val="20"/>
        </w:rPr>
        <w:t>annually</w:t>
      </w:r>
      <w:r w:rsidR="00082E57">
        <w:rPr>
          <w:rFonts w:cs="DIN-Regular"/>
          <w:szCs w:val="20"/>
        </w:rPr>
        <w:t xml:space="preserve"> and are entered into on arm’s length terms</w:t>
      </w:r>
      <w:r w:rsidR="00082E57" w:rsidRPr="002B1F96">
        <w:rPr>
          <w:rFonts w:cs="DIN-Regular"/>
          <w:szCs w:val="20"/>
        </w:rPr>
        <w:t xml:space="preserve">. For </w:t>
      </w:r>
      <w:r w:rsidR="00A530BE">
        <w:rPr>
          <w:rFonts w:cs="DIN-Regular"/>
          <w:szCs w:val="20"/>
        </w:rPr>
        <w:t>further</w:t>
      </w:r>
      <w:r w:rsidR="00082E57" w:rsidRPr="002B1F96">
        <w:rPr>
          <w:rFonts w:cs="DIN-Regular"/>
          <w:szCs w:val="20"/>
        </w:rPr>
        <w:t xml:space="preserve"> information</w:t>
      </w:r>
      <w:r w:rsidR="00082E57">
        <w:rPr>
          <w:rFonts w:cs="DIN-Regular"/>
          <w:szCs w:val="20"/>
        </w:rPr>
        <w:t>,</w:t>
      </w:r>
      <w:r w:rsidR="00082E57" w:rsidRPr="002B1F96">
        <w:rPr>
          <w:rFonts w:cs="DIN-Regular"/>
          <w:szCs w:val="20"/>
        </w:rPr>
        <w:t xml:space="preserve"> </w:t>
      </w:r>
      <w:r w:rsidR="00A530BE">
        <w:rPr>
          <w:rFonts w:cs="DIN-Regular"/>
          <w:szCs w:val="20"/>
        </w:rPr>
        <w:t>please refer to</w:t>
      </w:r>
      <w:r w:rsidR="00082E57" w:rsidRPr="002B1F96">
        <w:rPr>
          <w:rFonts w:cs="DIN-Regular"/>
          <w:szCs w:val="20"/>
        </w:rPr>
        <w:t xml:space="preserve"> Section</w:t>
      </w:r>
      <w:r w:rsidR="00A530BE">
        <w:rPr>
          <w:rFonts w:cs="DIN-Regular"/>
          <w:szCs w:val="20"/>
        </w:rPr>
        <w:t xml:space="preserve"> 5.2.2 </w:t>
      </w:r>
      <w:r w:rsidR="00A530BE">
        <w:rPr>
          <w:szCs w:val="20"/>
        </w:rPr>
        <w:t xml:space="preserve">of the PDS (regarding fees paid to </w:t>
      </w:r>
      <w:r>
        <w:rPr>
          <w:rFonts w:eastAsiaTheme="minorHAnsi"/>
        </w:rPr>
        <w:t>CFM</w:t>
      </w:r>
      <w:r w:rsidRPr="00A809A9">
        <w:rPr>
          <w:rFonts w:eastAsiaTheme="minorHAnsi"/>
        </w:rPr>
        <w:t xml:space="preserve"> </w:t>
      </w:r>
      <w:r w:rsidR="00A530BE">
        <w:rPr>
          <w:szCs w:val="20"/>
        </w:rPr>
        <w:t xml:space="preserve">and its related parties for services provided to the Trust) </w:t>
      </w:r>
      <w:r w:rsidR="00A530BE">
        <w:rPr>
          <w:rFonts w:cs="DIN-Regular"/>
          <w:szCs w:val="20"/>
        </w:rPr>
        <w:t>and Section 10.14</w:t>
      </w:r>
      <w:r w:rsidR="00082E57" w:rsidRPr="002B1F96">
        <w:rPr>
          <w:rFonts w:cs="DIN-Regular"/>
          <w:szCs w:val="20"/>
        </w:rPr>
        <w:t xml:space="preserve"> of the PDS</w:t>
      </w:r>
      <w:r w:rsidR="00A530BE">
        <w:rPr>
          <w:rFonts w:cs="DIN-Regular"/>
          <w:szCs w:val="20"/>
        </w:rPr>
        <w:t xml:space="preserve"> </w:t>
      </w:r>
      <w:r w:rsidR="00A530BE" w:rsidRPr="00A530BE">
        <w:rPr>
          <w:rFonts w:cs="DIN-Regular"/>
          <w:szCs w:val="20"/>
        </w:rPr>
        <w:t xml:space="preserve">(regarding the related party arrangements that relate to the </w:t>
      </w:r>
      <w:r w:rsidR="00A530BE">
        <w:rPr>
          <w:rFonts w:cs="DIN-Regular"/>
          <w:szCs w:val="20"/>
        </w:rPr>
        <w:t>Trust</w:t>
      </w:r>
      <w:r w:rsidR="00A530BE" w:rsidRPr="00A530BE">
        <w:rPr>
          <w:rFonts w:cs="DIN-Regular"/>
          <w:szCs w:val="20"/>
        </w:rPr>
        <w:t>)</w:t>
      </w:r>
      <w:r w:rsidR="00082E57" w:rsidRPr="002B1F96">
        <w:rPr>
          <w:rFonts w:cs="DIN-Regular"/>
          <w:szCs w:val="20"/>
        </w:rPr>
        <w:t>.</w:t>
      </w:r>
      <w:r w:rsidR="00B73985" w:rsidRPr="00B73985">
        <w:rPr>
          <w:rFonts w:cs="DIN-Regular"/>
          <w:szCs w:val="20"/>
        </w:rPr>
        <w:t xml:space="preserve"> </w:t>
      </w:r>
    </w:p>
    <w:p w14:paraId="1B4D2DD4" w14:textId="0EEAF5A3" w:rsidR="003B7344" w:rsidRPr="00F85129" w:rsidRDefault="00B73985" w:rsidP="00B73985">
      <w:pPr>
        <w:autoSpaceDE w:val="0"/>
        <w:autoSpaceDN w:val="0"/>
        <w:adjustRightInd w:val="0"/>
        <w:jc w:val="both"/>
        <w:rPr>
          <w:rFonts w:cs="DIN-Regular"/>
          <w:szCs w:val="20"/>
        </w:rPr>
      </w:pPr>
      <w:r w:rsidRPr="00B73985">
        <w:rPr>
          <w:rFonts w:cs="DIN-Regular"/>
          <w:szCs w:val="20"/>
        </w:rPr>
        <w:t xml:space="preserve">Details of related party transactions between </w:t>
      </w:r>
      <w:r w:rsidR="00CF4156">
        <w:rPr>
          <w:rFonts w:eastAsiaTheme="minorHAnsi"/>
        </w:rPr>
        <w:t>CFM</w:t>
      </w:r>
      <w:r w:rsidR="00CF4156" w:rsidRPr="00A809A9">
        <w:rPr>
          <w:rFonts w:eastAsiaTheme="minorHAnsi"/>
        </w:rPr>
        <w:t xml:space="preserve"> </w:t>
      </w:r>
      <w:r w:rsidRPr="00B73985">
        <w:rPr>
          <w:rFonts w:cs="DIN-Regular"/>
          <w:szCs w:val="20"/>
        </w:rPr>
        <w:t xml:space="preserve">and the Trust during </w:t>
      </w:r>
      <w:r w:rsidR="00837670">
        <w:rPr>
          <w:rFonts w:cs="DIN-Regular"/>
          <w:szCs w:val="20"/>
        </w:rPr>
        <w:t xml:space="preserve">the </w:t>
      </w:r>
      <w:r w:rsidR="00CF41BC" w:rsidRPr="00B73985">
        <w:rPr>
          <w:rFonts w:cs="DIN-Regular"/>
          <w:szCs w:val="20"/>
        </w:rPr>
        <w:t>201</w:t>
      </w:r>
      <w:r w:rsidR="00CF41BC">
        <w:rPr>
          <w:rFonts w:cs="DIN-Regular"/>
          <w:szCs w:val="20"/>
        </w:rPr>
        <w:t>6</w:t>
      </w:r>
      <w:r w:rsidR="00CF41BC"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9B10D5">
        <w:rPr>
          <w:rFonts w:cs="DIN-Regular"/>
          <w:szCs w:val="20"/>
        </w:rPr>
        <w:t>10</w:t>
      </w:r>
      <w:r w:rsidR="009B10D5"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F24F50" w:rsidRPr="001B0101">
        <w:rPr>
          <w:rFonts w:cs="DIN-Regular"/>
          <w:szCs w:val="20"/>
        </w:rPr>
        <w:t>2016</w:t>
      </w:r>
      <w:r w:rsidR="00F24F50"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3" w:history="1">
        <w:r w:rsidR="0063247B" w:rsidRPr="0063247B">
          <w:rPr>
            <w:rStyle w:val="Hyperlink"/>
            <w:rFonts w:cs="DIN-Regular"/>
            <w:szCs w:val="20"/>
          </w:rPr>
          <w:t>www.cromwell.com.au/c12</w:t>
        </w:r>
      </w:hyperlink>
      <w:r w:rsidRPr="00B73985">
        <w:rPr>
          <w:rFonts w:cs="DIN-Regular"/>
          <w:szCs w:val="20"/>
        </w:rPr>
        <w:t>.</w:t>
      </w:r>
      <w:r w:rsidR="00F27F88">
        <w:rPr>
          <w:rFonts w:cs="DIN-Regular"/>
          <w:szCs w:val="20"/>
        </w:rPr>
        <w:t xml:space="preserve"> </w:t>
      </w:r>
      <w:r w:rsidR="00053636">
        <w:rPr>
          <w:rFonts w:cs="DIN-Regular"/>
          <w:szCs w:val="20"/>
        </w:rPr>
        <w:t>Unitholders</w:t>
      </w:r>
      <w:r w:rsidRPr="00B73985">
        <w:rPr>
          <w:rFonts w:cs="DIN-Regular"/>
          <w:szCs w:val="20"/>
        </w:rPr>
        <w:t xml:space="preserve"> can</w:t>
      </w:r>
      <w:r w:rsidR="00141028">
        <w:rPr>
          <w:rFonts w:cs="DIN-Regular"/>
          <w:szCs w:val="20"/>
        </w:rPr>
        <w:t xml:space="preserve"> </w:t>
      </w:r>
      <w:r w:rsidRPr="00B73985">
        <w:rPr>
          <w:rFonts w:cs="DIN-Regular"/>
          <w:szCs w:val="20"/>
        </w:rPr>
        <w:t>obtain copies of the Conflict of Interest and Related Party Polic</w:t>
      </w:r>
      <w:r w:rsidR="00F27F88">
        <w:rPr>
          <w:rFonts w:cs="DIN-Regular"/>
          <w:szCs w:val="20"/>
        </w:rPr>
        <w:t>ies</w:t>
      </w:r>
      <w:r w:rsidRPr="00B73985">
        <w:rPr>
          <w:rFonts w:cs="DIN-Regular"/>
          <w:szCs w:val="20"/>
        </w:rPr>
        <w:t xml:space="preserve"> by calling Cromwell Investor Services on 1300 276 693.</w:t>
      </w:r>
    </w:p>
    <w:sectPr w:rsidR="003B7344" w:rsidRPr="00F85129" w:rsidSect="00053E34">
      <w:headerReference w:type="default" r:id="rId14"/>
      <w:footerReference w:type="default" r:id="rId15"/>
      <w:pgSz w:w="11906" w:h="16838" w:code="9"/>
      <w:pgMar w:top="1361" w:right="1361" w:bottom="1361" w:left="136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E216" w14:textId="77777777" w:rsidR="00A118F2" w:rsidRDefault="00A118F2" w:rsidP="00046E8D">
      <w:r>
        <w:separator/>
      </w:r>
    </w:p>
  </w:endnote>
  <w:endnote w:type="continuationSeparator" w:id="0">
    <w:p w14:paraId="140F79B7" w14:textId="77777777" w:rsidR="00A118F2" w:rsidRDefault="00A118F2" w:rsidP="0004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N-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3766"/>
      <w:docPartObj>
        <w:docPartGallery w:val="Page Numbers (Bottom of Page)"/>
        <w:docPartUnique/>
      </w:docPartObj>
    </w:sdtPr>
    <w:sdtEndPr/>
    <w:sdtContent>
      <w:p w14:paraId="2A591BB1" w14:textId="35452C58" w:rsidR="00A118F2" w:rsidRDefault="00FD18B5" w:rsidP="008D6FDD">
        <w:pPr>
          <w:pBdr>
            <w:top w:val="single" w:sz="4" w:space="1" w:color="002060"/>
          </w:pBdr>
        </w:pPr>
        <w:r>
          <w:fldChar w:fldCharType="begin"/>
        </w:r>
        <w:r>
          <w:instrText xml:space="preserve"> FILENAME   \* MERGEFORMAT </w:instrText>
        </w:r>
        <w:r>
          <w:fldChar w:fldCharType="separate"/>
        </w:r>
        <w:r w:rsidR="0086423B" w:rsidRPr="0086423B">
          <w:rPr>
            <w:noProof/>
            <w:sz w:val="16"/>
            <w:szCs w:val="16"/>
          </w:rPr>
          <w:t>2609106_3</w:t>
        </w:r>
        <w:r>
          <w:rPr>
            <w:noProof/>
            <w:sz w:val="16"/>
            <w:szCs w:val="16"/>
          </w:rPr>
          <w:fldChar w:fldCharType="end"/>
        </w:r>
        <w:r w:rsidR="00A118F2">
          <w:tab/>
        </w:r>
        <w:r w:rsidR="00A118F2">
          <w:tab/>
        </w:r>
        <w:r w:rsidR="00A118F2">
          <w:tab/>
        </w:r>
        <w:r w:rsidR="00A118F2">
          <w:tab/>
        </w:r>
        <w:r w:rsidR="00A118F2">
          <w:tab/>
        </w:r>
        <w:r w:rsidR="00A118F2">
          <w:tab/>
        </w:r>
        <w:r w:rsidR="00A118F2">
          <w:tab/>
        </w:r>
        <w:r w:rsidR="00A118F2">
          <w:tab/>
        </w:r>
        <w:r w:rsidR="00A118F2">
          <w:tab/>
        </w:r>
        <w:r w:rsidR="00A118F2">
          <w:tab/>
        </w:r>
        <w:r w:rsidR="00A118F2" w:rsidRPr="00046E8D">
          <w:rPr>
            <w:sz w:val="16"/>
            <w:szCs w:val="16"/>
          </w:rPr>
          <w:t xml:space="preserve">Page | </w:t>
        </w:r>
        <w:r w:rsidR="00A118F2" w:rsidRPr="00046E8D">
          <w:rPr>
            <w:sz w:val="16"/>
            <w:szCs w:val="16"/>
          </w:rPr>
          <w:fldChar w:fldCharType="begin"/>
        </w:r>
        <w:r w:rsidR="00A118F2" w:rsidRPr="00046E8D">
          <w:rPr>
            <w:sz w:val="16"/>
            <w:szCs w:val="16"/>
          </w:rPr>
          <w:instrText xml:space="preserve"> PAGE   \* MERGEFORMAT </w:instrText>
        </w:r>
        <w:r w:rsidR="00A118F2" w:rsidRPr="00046E8D">
          <w:rPr>
            <w:sz w:val="16"/>
            <w:szCs w:val="16"/>
          </w:rPr>
          <w:fldChar w:fldCharType="separate"/>
        </w:r>
        <w:r>
          <w:rPr>
            <w:noProof/>
            <w:sz w:val="16"/>
            <w:szCs w:val="16"/>
          </w:rPr>
          <w:t>8</w:t>
        </w:r>
        <w:r w:rsidR="00A118F2" w:rsidRPr="00046E8D">
          <w:rPr>
            <w:sz w:val="16"/>
            <w:szCs w:val="16"/>
          </w:rPr>
          <w:fldChar w:fldCharType="end"/>
        </w:r>
        <w:r w:rsidR="00A118F2">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0D0E" w14:textId="77777777" w:rsidR="00A118F2" w:rsidRDefault="00A118F2" w:rsidP="00046E8D">
      <w:r>
        <w:separator/>
      </w:r>
    </w:p>
  </w:footnote>
  <w:footnote w:type="continuationSeparator" w:id="0">
    <w:p w14:paraId="0A91C8BF" w14:textId="77777777" w:rsidR="00A118F2" w:rsidRDefault="00A118F2" w:rsidP="0004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3CB2" w14:textId="77777777" w:rsidR="00A118F2" w:rsidRDefault="00A118F2"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14:paraId="6E9957AC" w14:textId="2764093E" w:rsidR="00A118F2" w:rsidRPr="00133CAE" w:rsidRDefault="00A118F2" w:rsidP="00385742">
    <w:pPr>
      <w:pStyle w:val="Header"/>
      <w:jc w:val="right"/>
      <w:rPr>
        <w:color w:val="008A5E"/>
        <w:lang w:val="en-US"/>
      </w:rPr>
    </w:pPr>
    <w:r w:rsidRPr="00BF6500">
      <w:rPr>
        <w:b/>
        <w:color w:val="6E7F0B"/>
        <w:lang w:val="en-US"/>
      </w:rPr>
      <w:t>Cromwell Property Trust 12</w:t>
    </w:r>
    <w:r w:rsidRPr="00BF6500">
      <w:rPr>
        <w:color w:val="008A5E"/>
        <w:lang w:val="en-US"/>
      </w:rPr>
      <w:t xml:space="preserve"> </w:t>
    </w:r>
    <w:r w:rsidRPr="00BF6500">
      <w:rPr>
        <w:color w:val="404040" w:themeColor="text1" w:themeTint="BF"/>
        <w:lang w:val="en-US"/>
      </w:rPr>
      <w:t xml:space="preserve"> |  </w:t>
    </w:r>
    <w:r w:rsidR="00BF6500" w:rsidRPr="00F85129">
      <w:rPr>
        <w:color w:val="404040" w:themeColor="text1" w:themeTint="BF"/>
        <w:lang w:val="en-US"/>
      </w:rPr>
      <w:t>10</w:t>
    </w:r>
    <w:r w:rsidR="008407F3" w:rsidRPr="00F85129">
      <w:rPr>
        <w:color w:val="404040" w:themeColor="text1" w:themeTint="BF"/>
        <w:lang w:val="en-US"/>
      </w:rPr>
      <w:t xml:space="preserve"> </w:t>
    </w:r>
    <w:r w:rsidR="00FD18B5">
      <w:rPr>
        <w:rFonts w:eastAsiaTheme="majorEastAsia" w:cs="Arial"/>
        <w:color w:val="404040" w:themeColor="text1" w:themeTint="BF"/>
        <w:szCs w:val="36"/>
      </w:rPr>
      <w:t>November</w:t>
    </w:r>
    <w:r w:rsidR="00FD18B5" w:rsidRPr="00F85129">
      <w:rPr>
        <w:color w:val="404040" w:themeColor="text1" w:themeTint="BF"/>
        <w:lang w:val="en-US"/>
      </w:rPr>
      <w:t xml:space="preserve"> </w:t>
    </w:r>
    <w:r w:rsidR="005613C3" w:rsidRPr="00F85129">
      <w:rPr>
        <w:color w:val="404040" w:themeColor="text1" w:themeTint="BF"/>
        <w:lang w:val="en-US"/>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proofState w:spelling="clean"/>
  <w:revisionView w:markup="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F1A"/>
    <w:rsid w:val="000064AF"/>
    <w:rsid w:val="000120B7"/>
    <w:rsid w:val="00020828"/>
    <w:rsid w:val="000277D4"/>
    <w:rsid w:val="00040F6B"/>
    <w:rsid w:val="00046E8D"/>
    <w:rsid w:val="0005094A"/>
    <w:rsid w:val="00053636"/>
    <w:rsid w:val="00053E34"/>
    <w:rsid w:val="00054598"/>
    <w:rsid w:val="00054DB8"/>
    <w:rsid w:val="000565A1"/>
    <w:rsid w:val="00057605"/>
    <w:rsid w:val="00066004"/>
    <w:rsid w:val="00070124"/>
    <w:rsid w:val="000708DA"/>
    <w:rsid w:val="00072C83"/>
    <w:rsid w:val="00076E5D"/>
    <w:rsid w:val="00081CE1"/>
    <w:rsid w:val="00082204"/>
    <w:rsid w:val="00082E57"/>
    <w:rsid w:val="00094983"/>
    <w:rsid w:val="000951A8"/>
    <w:rsid w:val="00095F34"/>
    <w:rsid w:val="000979D2"/>
    <w:rsid w:val="000A3EC2"/>
    <w:rsid w:val="000B0801"/>
    <w:rsid w:val="000B3CE0"/>
    <w:rsid w:val="000B4C70"/>
    <w:rsid w:val="000D3617"/>
    <w:rsid w:val="000D3808"/>
    <w:rsid w:val="000D3EEA"/>
    <w:rsid w:val="000E33DE"/>
    <w:rsid w:val="000E6A03"/>
    <w:rsid w:val="000F26C9"/>
    <w:rsid w:val="000F3AB4"/>
    <w:rsid w:val="000F4F35"/>
    <w:rsid w:val="001002BD"/>
    <w:rsid w:val="00102BCF"/>
    <w:rsid w:val="00106866"/>
    <w:rsid w:val="0012596C"/>
    <w:rsid w:val="00131AE8"/>
    <w:rsid w:val="00133CAE"/>
    <w:rsid w:val="001355D6"/>
    <w:rsid w:val="00135794"/>
    <w:rsid w:val="00136A9E"/>
    <w:rsid w:val="00141028"/>
    <w:rsid w:val="00143D0B"/>
    <w:rsid w:val="00150858"/>
    <w:rsid w:val="0015166D"/>
    <w:rsid w:val="00161CEC"/>
    <w:rsid w:val="00163AB7"/>
    <w:rsid w:val="001670AD"/>
    <w:rsid w:val="00173302"/>
    <w:rsid w:val="00173A57"/>
    <w:rsid w:val="00174E69"/>
    <w:rsid w:val="001758F0"/>
    <w:rsid w:val="00180E69"/>
    <w:rsid w:val="00181CFA"/>
    <w:rsid w:val="00184016"/>
    <w:rsid w:val="00185387"/>
    <w:rsid w:val="00195CD2"/>
    <w:rsid w:val="001962A7"/>
    <w:rsid w:val="001A0B32"/>
    <w:rsid w:val="001A1029"/>
    <w:rsid w:val="001A5AA0"/>
    <w:rsid w:val="001B0101"/>
    <w:rsid w:val="001B5E28"/>
    <w:rsid w:val="001C127B"/>
    <w:rsid w:val="001C39EB"/>
    <w:rsid w:val="001C727E"/>
    <w:rsid w:val="001D31EA"/>
    <w:rsid w:val="001D56B4"/>
    <w:rsid w:val="001D5B0B"/>
    <w:rsid w:val="001D5F56"/>
    <w:rsid w:val="001E1778"/>
    <w:rsid w:val="001E1F25"/>
    <w:rsid w:val="002002B5"/>
    <w:rsid w:val="00203346"/>
    <w:rsid w:val="00213E24"/>
    <w:rsid w:val="002154F9"/>
    <w:rsid w:val="00217EA8"/>
    <w:rsid w:val="0022213F"/>
    <w:rsid w:val="00225033"/>
    <w:rsid w:val="002323BA"/>
    <w:rsid w:val="00244F51"/>
    <w:rsid w:val="00255192"/>
    <w:rsid w:val="00255CB7"/>
    <w:rsid w:val="00271F98"/>
    <w:rsid w:val="002773A4"/>
    <w:rsid w:val="002846A2"/>
    <w:rsid w:val="002869EA"/>
    <w:rsid w:val="00293146"/>
    <w:rsid w:val="00293729"/>
    <w:rsid w:val="002979C5"/>
    <w:rsid w:val="002A0603"/>
    <w:rsid w:val="002A7A7A"/>
    <w:rsid w:val="002B3AA0"/>
    <w:rsid w:val="002B7A15"/>
    <w:rsid w:val="002C0783"/>
    <w:rsid w:val="002C3899"/>
    <w:rsid w:val="002D0548"/>
    <w:rsid w:val="002E3A35"/>
    <w:rsid w:val="002F2DF2"/>
    <w:rsid w:val="002F2F73"/>
    <w:rsid w:val="002F35F0"/>
    <w:rsid w:val="002F54F8"/>
    <w:rsid w:val="003004A1"/>
    <w:rsid w:val="00304A45"/>
    <w:rsid w:val="00307549"/>
    <w:rsid w:val="00312329"/>
    <w:rsid w:val="003238DC"/>
    <w:rsid w:val="00330B7B"/>
    <w:rsid w:val="00335425"/>
    <w:rsid w:val="00340D5B"/>
    <w:rsid w:val="00341D1C"/>
    <w:rsid w:val="00350EFF"/>
    <w:rsid w:val="0035185E"/>
    <w:rsid w:val="0035586A"/>
    <w:rsid w:val="00356B3E"/>
    <w:rsid w:val="003706DD"/>
    <w:rsid w:val="00374C5C"/>
    <w:rsid w:val="00380AF4"/>
    <w:rsid w:val="00381493"/>
    <w:rsid w:val="0038314C"/>
    <w:rsid w:val="0038514B"/>
    <w:rsid w:val="00385742"/>
    <w:rsid w:val="003A5459"/>
    <w:rsid w:val="003B45C6"/>
    <w:rsid w:val="003B7344"/>
    <w:rsid w:val="003C0359"/>
    <w:rsid w:val="003C0685"/>
    <w:rsid w:val="003C3A34"/>
    <w:rsid w:val="003D054E"/>
    <w:rsid w:val="003D7A10"/>
    <w:rsid w:val="003E0AA0"/>
    <w:rsid w:val="003F1192"/>
    <w:rsid w:val="003F49ED"/>
    <w:rsid w:val="003F59DB"/>
    <w:rsid w:val="003F663D"/>
    <w:rsid w:val="003F6A46"/>
    <w:rsid w:val="003F6EE4"/>
    <w:rsid w:val="00400057"/>
    <w:rsid w:val="00401435"/>
    <w:rsid w:val="004022F9"/>
    <w:rsid w:val="00416417"/>
    <w:rsid w:val="0042088E"/>
    <w:rsid w:val="00422FF8"/>
    <w:rsid w:val="004278D4"/>
    <w:rsid w:val="00431AC8"/>
    <w:rsid w:val="004362F5"/>
    <w:rsid w:val="0045574D"/>
    <w:rsid w:val="004636AD"/>
    <w:rsid w:val="00467B08"/>
    <w:rsid w:val="00473E6C"/>
    <w:rsid w:val="00481637"/>
    <w:rsid w:val="00484FB3"/>
    <w:rsid w:val="0048631F"/>
    <w:rsid w:val="00486FAE"/>
    <w:rsid w:val="004A12AF"/>
    <w:rsid w:val="004A6D6C"/>
    <w:rsid w:val="004B1BBC"/>
    <w:rsid w:val="004B200B"/>
    <w:rsid w:val="004B468B"/>
    <w:rsid w:val="004B6266"/>
    <w:rsid w:val="004B664A"/>
    <w:rsid w:val="004B7C23"/>
    <w:rsid w:val="004C01BF"/>
    <w:rsid w:val="004D5540"/>
    <w:rsid w:val="004D6E2F"/>
    <w:rsid w:val="004E383D"/>
    <w:rsid w:val="004F38F2"/>
    <w:rsid w:val="004F6A7A"/>
    <w:rsid w:val="00502307"/>
    <w:rsid w:val="00502C09"/>
    <w:rsid w:val="00511318"/>
    <w:rsid w:val="0052144D"/>
    <w:rsid w:val="00523401"/>
    <w:rsid w:val="00530CCA"/>
    <w:rsid w:val="00530FD9"/>
    <w:rsid w:val="00532C72"/>
    <w:rsid w:val="0053498B"/>
    <w:rsid w:val="00535D5D"/>
    <w:rsid w:val="0054058D"/>
    <w:rsid w:val="00550081"/>
    <w:rsid w:val="00557353"/>
    <w:rsid w:val="005613C3"/>
    <w:rsid w:val="005649EC"/>
    <w:rsid w:val="005733BF"/>
    <w:rsid w:val="005779C1"/>
    <w:rsid w:val="00580979"/>
    <w:rsid w:val="00583B83"/>
    <w:rsid w:val="005858E1"/>
    <w:rsid w:val="005904B8"/>
    <w:rsid w:val="00596120"/>
    <w:rsid w:val="0059712F"/>
    <w:rsid w:val="005A2537"/>
    <w:rsid w:val="005B703E"/>
    <w:rsid w:val="005D1268"/>
    <w:rsid w:val="005D365B"/>
    <w:rsid w:val="005D5918"/>
    <w:rsid w:val="005E31F6"/>
    <w:rsid w:val="005E539C"/>
    <w:rsid w:val="005E6C3C"/>
    <w:rsid w:val="005E6E37"/>
    <w:rsid w:val="005F3118"/>
    <w:rsid w:val="00601FF4"/>
    <w:rsid w:val="0060403C"/>
    <w:rsid w:val="00604B3E"/>
    <w:rsid w:val="00605B05"/>
    <w:rsid w:val="00605D1C"/>
    <w:rsid w:val="00607B82"/>
    <w:rsid w:val="00614531"/>
    <w:rsid w:val="0061513D"/>
    <w:rsid w:val="00615206"/>
    <w:rsid w:val="0061760E"/>
    <w:rsid w:val="00620DFD"/>
    <w:rsid w:val="00621926"/>
    <w:rsid w:val="00625BA8"/>
    <w:rsid w:val="006276A8"/>
    <w:rsid w:val="0063247B"/>
    <w:rsid w:val="00633156"/>
    <w:rsid w:val="00635996"/>
    <w:rsid w:val="00637185"/>
    <w:rsid w:val="00644B85"/>
    <w:rsid w:val="00647481"/>
    <w:rsid w:val="00647C62"/>
    <w:rsid w:val="0065317A"/>
    <w:rsid w:val="00654BCE"/>
    <w:rsid w:val="006573CD"/>
    <w:rsid w:val="006609BE"/>
    <w:rsid w:val="006625FA"/>
    <w:rsid w:val="00664CA7"/>
    <w:rsid w:val="00665944"/>
    <w:rsid w:val="006730DB"/>
    <w:rsid w:val="00673AEE"/>
    <w:rsid w:val="00677BC3"/>
    <w:rsid w:val="00680B55"/>
    <w:rsid w:val="00681895"/>
    <w:rsid w:val="00681A9C"/>
    <w:rsid w:val="00684A07"/>
    <w:rsid w:val="006914FE"/>
    <w:rsid w:val="006A270C"/>
    <w:rsid w:val="006B257B"/>
    <w:rsid w:val="006B31C6"/>
    <w:rsid w:val="006B59C4"/>
    <w:rsid w:val="006D1568"/>
    <w:rsid w:val="006D38F5"/>
    <w:rsid w:val="006D74EE"/>
    <w:rsid w:val="006F18DD"/>
    <w:rsid w:val="00704477"/>
    <w:rsid w:val="0071246F"/>
    <w:rsid w:val="007155EE"/>
    <w:rsid w:val="00730039"/>
    <w:rsid w:val="0073113E"/>
    <w:rsid w:val="0073205E"/>
    <w:rsid w:val="007324D3"/>
    <w:rsid w:val="0073284E"/>
    <w:rsid w:val="00735639"/>
    <w:rsid w:val="0073577B"/>
    <w:rsid w:val="00735A57"/>
    <w:rsid w:val="00742BE6"/>
    <w:rsid w:val="007468EE"/>
    <w:rsid w:val="0075365F"/>
    <w:rsid w:val="007544ED"/>
    <w:rsid w:val="007546FE"/>
    <w:rsid w:val="00771788"/>
    <w:rsid w:val="007719A4"/>
    <w:rsid w:val="0077457E"/>
    <w:rsid w:val="007776B4"/>
    <w:rsid w:val="00787455"/>
    <w:rsid w:val="007A2C5F"/>
    <w:rsid w:val="007A31AB"/>
    <w:rsid w:val="007A53D1"/>
    <w:rsid w:val="007A6137"/>
    <w:rsid w:val="007A6439"/>
    <w:rsid w:val="007B5434"/>
    <w:rsid w:val="007B6379"/>
    <w:rsid w:val="007C2EBB"/>
    <w:rsid w:val="007C4232"/>
    <w:rsid w:val="007C7A0C"/>
    <w:rsid w:val="007E166D"/>
    <w:rsid w:val="007E3F68"/>
    <w:rsid w:val="007F603B"/>
    <w:rsid w:val="008004E6"/>
    <w:rsid w:val="00800F93"/>
    <w:rsid w:val="008041AE"/>
    <w:rsid w:val="008115A7"/>
    <w:rsid w:val="008128AF"/>
    <w:rsid w:val="0081479B"/>
    <w:rsid w:val="0083119A"/>
    <w:rsid w:val="008315D0"/>
    <w:rsid w:val="00836264"/>
    <w:rsid w:val="00837670"/>
    <w:rsid w:val="008407F3"/>
    <w:rsid w:val="00844498"/>
    <w:rsid w:val="008503A4"/>
    <w:rsid w:val="00851739"/>
    <w:rsid w:val="0086423B"/>
    <w:rsid w:val="00864FCD"/>
    <w:rsid w:val="00865AAB"/>
    <w:rsid w:val="00867CBA"/>
    <w:rsid w:val="00872058"/>
    <w:rsid w:val="00876202"/>
    <w:rsid w:val="00876C2B"/>
    <w:rsid w:val="0087743E"/>
    <w:rsid w:val="008900A0"/>
    <w:rsid w:val="00894F16"/>
    <w:rsid w:val="008C0C64"/>
    <w:rsid w:val="008D6FDD"/>
    <w:rsid w:val="008E547A"/>
    <w:rsid w:val="008F0403"/>
    <w:rsid w:val="008F3D01"/>
    <w:rsid w:val="00907697"/>
    <w:rsid w:val="00916626"/>
    <w:rsid w:val="00921701"/>
    <w:rsid w:val="009218E6"/>
    <w:rsid w:val="00926243"/>
    <w:rsid w:val="00926F11"/>
    <w:rsid w:val="00927811"/>
    <w:rsid w:val="00931081"/>
    <w:rsid w:val="00931A6D"/>
    <w:rsid w:val="00934E74"/>
    <w:rsid w:val="0093739D"/>
    <w:rsid w:val="00947882"/>
    <w:rsid w:val="00947B9A"/>
    <w:rsid w:val="00947D83"/>
    <w:rsid w:val="0095292F"/>
    <w:rsid w:val="00953281"/>
    <w:rsid w:val="009538DD"/>
    <w:rsid w:val="0096063A"/>
    <w:rsid w:val="00963088"/>
    <w:rsid w:val="00965C3E"/>
    <w:rsid w:val="009702F5"/>
    <w:rsid w:val="00980196"/>
    <w:rsid w:val="009814E1"/>
    <w:rsid w:val="00981BF6"/>
    <w:rsid w:val="00985A07"/>
    <w:rsid w:val="009879FB"/>
    <w:rsid w:val="00990EB6"/>
    <w:rsid w:val="00994FAF"/>
    <w:rsid w:val="009A021C"/>
    <w:rsid w:val="009A59CF"/>
    <w:rsid w:val="009B10D5"/>
    <w:rsid w:val="009B17A6"/>
    <w:rsid w:val="009B2C6A"/>
    <w:rsid w:val="009B3A34"/>
    <w:rsid w:val="009C18CA"/>
    <w:rsid w:val="009C38D0"/>
    <w:rsid w:val="009C4D8A"/>
    <w:rsid w:val="009C5F78"/>
    <w:rsid w:val="009C6F1A"/>
    <w:rsid w:val="009D5114"/>
    <w:rsid w:val="009D7A7B"/>
    <w:rsid w:val="009E0083"/>
    <w:rsid w:val="009E0204"/>
    <w:rsid w:val="009E18B6"/>
    <w:rsid w:val="009E2F6F"/>
    <w:rsid w:val="009F2265"/>
    <w:rsid w:val="009F347F"/>
    <w:rsid w:val="009F4902"/>
    <w:rsid w:val="00A0488A"/>
    <w:rsid w:val="00A118F2"/>
    <w:rsid w:val="00A140B6"/>
    <w:rsid w:val="00A24850"/>
    <w:rsid w:val="00A24C6B"/>
    <w:rsid w:val="00A517F2"/>
    <w:rsid w:val="00A530BE"/>
    <w:rsid w:val="00A61387"/>
    <w:rsid w:val="00A624E3"/>
    <w:rsid w:val="00A809A9"/>
    <w:rsid w:val="00A8413F"/>
    <w:rsid w:val="00A9712D"/>
    <w:rsid w:val="00AA1ACB"/>
    <w:rsid w:val="00AA1CD0"/>
    <w:rsid w:val="00AA3FBA"/>
    <w:rsid w:val="00AC32C6"/>
    <w:rsid w:val="00AC551A"/>
    <w:rsid w:val="00AD24C0"/>
    <w:rsid w:val="00AD3AA7"/>
    <w:rsid w:val="00AD4213"/>
    <w:rsid w:val="00AD776E"/>
    <w:rsid w:val="00AE439F"/>
    <w:rsid w:val="00AF322E"/>
    <w:rsid w:val="00AF4D26"/>
    <w:rsid w:val="00AF5BA1"/>
    <w:rsid w:val="00B00DFE"/>
    <w:rsid w:val="00B023EA"/>
    <w:rsid w:val="00B02743"/>
    <w:rsid w:val="00B159CF"/>
    <w:rsid w:val="00B15B6A"/>
    <w:rsid w:val="00B1687F"/>
    <w:rsid w:val="00B24946"/>
    <w:rsid w:val="00B32919"/>
    <w:rsid w:val="00B34CC3"/>
    <w:rsid w:val="00B35432"/>
    <w:rsid w:val="00B3697A"/>
    <w:rsid w:val="00B36B64"/>
    <w:rsid w:val="00B37BB5"/>
    <w:rsid w:val="00B41132"/>
    <w:rsid w:val="00B418E4"/>
    <w:rsid w:val="00B41954"/>
    <w:rsid w:val="00B530C1"/>
    <w:rsid w:val="00B531D8"/>
    <w:rsid w:val="00B54704"/>
    <w:rsid w:val="00B644E3"/>
    <w:rsid w:val="00B65DB7"/>
    <w:rsid w:val="00B67857"/>
    <w:rsid w:val="00B73985"/>
    <w:rsid w:val="00B8183E"/>
    <w:rsid w:val="00B81CC4"/>
    <w:rsid w:val="00B845D7"/>
    <w:rsid w:val="00B870E3"/>
    <w:rsid w:val="00BA34DA"/>
    <w:rsid w:val="00BA4BE0"/>
    <w:rsid w:val="00BA68B4"/>
    <w:rsid w:val="00BB0271"/>
    <w:rsid w:val="00BB20EC"/>
    <w:rsid w:val="00BC0D6A"/>
    <w:rsid w:val="00BC20B6"/>
    <w:rsid w:val="00BC339A"/>
    <w:rsid w:val="00BC40C4"/>
    <w:rsid w:val="00BC569C"/>
    <w:rsid w:val="00BC78A9"/>
    <w:rsid w:val="00BD0DD0"/>
    <w:rsid w:val="00BD65C1"/>
    <w:rsid w:val="00BE0C5B"/>
    <w:rsid w:val="00BE5229"/>
    <w:rsid w:val="00BE5A80"/>
    <w:rsid w:val="00BF369A"/>
    <w:rsid w:val="00BF5077"/>
    <w:rsid w:val="00BF64A3"/>
    <w:rsid w:val="00BF6500"/>
    <w:rsid w:val="00C027A6"/>
    <w:rsid w:val="00C1131C"/>
    <w:rsid w:val="00C1384B"/>
    <w:rsid w:val="00C14382"/>
    <w:rsid w:val="00C1728A"/>
    <w:rsid w:val="00C173F6"/>
    <w:rsid w:val="00C2030C"/>
    <w:rsid w:val="00C4034E"/>
    <w:rsid w:val="00C421CA"/>
    <w:rsid w:val="00C439B8"/>
    <w:rsid w:val="00C5112F"/>
    <w:rsid w:val="00C540BD"/>
    <w:rsid w:val="00C54F1B"/>
    <w:rsid w:val="00C62B3C"/>
    <w:rsid w:val="00C70709"/>
    <w:rsid w:val="00C7454F"/>
    <w:rsid w:val="00C7456B"/>
    <w:rsid w:val="00C77ABA"/>
    <w:rsid w:val="00C82CEC"/>
    <w:rsid w:val="00C84D0C"/>
    <w:rsid w:val="00C9456F"/>
    <w:rsid w:val="00C96749"/>
    <w:rsid w:val="00CA3EBF"/>
    <w:rsid w:val="00CA6536"/>
    <w:rsid w:val="00CB0DFC"/>
    <w:rsid w:val="00CB348A"/>
    <w:rsid w:val="00CC3496"/>
    <w:rsid w:val="00CD24C1"/>
    <w:rsid w:val="00CD4166"/>
    <w:rsid w:val="00CD5B1C"/>
    <w:rsid w:val="00CD67DC"/>
    <w:rsid w:val="00CD6968"/>
    <w:rsid w:val="00CE275E"/>
    <w:rsid w:val="00CE650B"/>
    <w:rsid w:val="00CF0A34"/>
    <w:rsid w:val="00CF206C"/>
    <w:rsid w:val="00CF4156"/>
    <w:rsid w:val="00CF41BC"/>
    <w:rsid w:val="00D00038"/>
    <w:rsid w:val="00D116DD"/>
    <w:rsid w:val="00D17EDE"/>
    <w:rsid w:val="00D22346"/>
    <w:rsid w:val="00D22FC7"/>
    <w:rsid w:val="00D258CE"/>
    <w:rsid w:val="00D31BCB"/>
    <w:rsid w:val="00D409B9"/>
    <w:rsid w:val="00D5201F"/>
    <w:rsid w:val="00D52FD1"/>
    <w:rsid w:val="00D53122"/>
    <w:rsid w:val="00D53F88"/>
    <w:rsid w:val="00D56063"/>
    <w:rsid w:val="00D56EA7"/>
    <w:rsid w:val="00D57C77"/>
    <w:rsid w:val="00D63557"/>
    <w:rsid w:val="00D70597"/>
    <w:rsid w:val="00D73D8E"/>
    <w:rsid w:val="00DA5418"/>
    <w:rsid w:val="00DC0707"/>
    <w:rsid w:val="00DC0BF7"/>
    <w:rsid w:val="00DC1CDF"/>
    <w:rsid w:val="00DC4F07"/>
    <w:rsid w:val="00DC5A06"/>
    <w:rsid w:val="00DC745B"/>
    <w:rsid w:val="00DD006D"/>
    <w:rsid w:val="00DD413B"/>
    <w:rsid w:val="00DD4F73"/>
    <w:rsid w:val="00DD516E"/>
    <w:rsid w:val="00DE4873"/>
    <w:rsid w:val="00DE6274"/>
    <w:rsid w:val="00DF0D9A"/>
    <w:rsid w:val="00DF76F1"/>
    <w:rsid w:val="00E1086A"/>
    <w:rsid w:val="00E12360"/>
    <w:rsid w:val="00E13B52"/>
    <w:rsid w:val="00E17681"/>
    <w:rsid w:val="00E23D29"/>
    <w:rsid w:val="00E24414"/>
    <w:rsid w:val="00E33384"/>
    <w:rsid w:val="00E33BB9"/>
    <w:rsid w:val="00E40270"/>
    <w:rsid w:val="00E431BC"/>
    <w:rsid w:val="00E45BE3"/>
    <w:rsid w:val="00E506F6"/>
    <w:rsid w:val="00E531D0"/>
    <w:rsid w:val="00E61E37"/>
    <w:rsid w:val="00E62FB8"/>
    <w:rsid w:val="00E744AE"/>
    <w:rsid w:val="00E82EAF"/>
    <w:rsid w:val="00E860D6"/>
    <w:rsid w:val="00E929DA"/>
    <w:rsid w:val="00E978BA"/>
    <w:rsid w:val="00EA07B6"/>
    <w:rsid w:val="00EB1563"/>
    <w:rsid w:val="00EB2C28"/>
    <w:rsid w:val="00EB689D"/>
    <w:rsid w:val="00EC3883"/>
    <w:rsid w:val="00EC47E2"/>
    <w:rsid w:val="00ED2DC5"/>
    <w:rsid w:val="00ED391A"/>
    <w:rsid w:val="00ED3B92"/>
    <w:rsid w:val="00ED59E0"/>
    <w:rsid w:val="00EE2FB4"/>
    <w:rsid w:val="00EE4B29"/>
    <w:rsid w:val="00EE5D1D"/>
    <w:rsid w:val="00EE798C"/>
    <w:rsid w:val="00EF103A"/>
    <w:rsid w:val="00EF475D"/>
    <w:rsid w:val="00EF7DBC"/>
    <w:rsid w:val="00F006B8"/>
    <w:rsid w:val="00F00938"/>
    <w:rsid w:val="00F06DB4"/>
    <w:rsid w:val="00F12AAE"/>
    <w:rsid w:val="00F136EE"/>
    <w:rsid w:val="00F13AA4"/>
    <w:rsid w:val="00F24F50"/>
    <w:rsid w:val="00F27F88"/>
    <w:rsid w:val="00F31B92"/>
    <w:rsid w:val="00F327EC"/>
    <w:rsid w:val="00F363B1"/>
    <w:rsid w:val="00F36473"/>
    <w:rsid w:val="00F37991"/>
    <w:rsid w:val="00F51EA5"/>
    <w:rsid w:val="00F52085"/>
    <w:rsid w:val="00F55D33"/>
    <w:rsid w:val="00F648EF"/>
    <w:rsid w:val="00F65EB2"/>
    <w:rsid w:val="00F7038B"/>
    <w:rsid w:val="00F730DE"/>
    <w:rsid w:val="00F80DFD"/>
    <w:rsid w:val="00F84216"/>
    <w:rsid w:val="00F85129"/>
    <w:rsid w:val="00F8587D"/>
    <w:rsid w:val="00F8633D"/>
    <w:rsid w:val="00F86781"/>
    <w:rsid w:val="00F94A5C"/>
    <w:rsid w:val="00FA67F8"/>
    <w:rsid w:val="00FC3427"/>
    <w:rsid w:val="00FC6261"/>
    <w:rsid w:val="00FD18B5"/>
    <w:rsid w:val="00FD569E"/>
    <w:rsid w:val="00FE204E"/>
    <w:rsid w:val="00FE3AAB"/>
    <w:rsid w:val="00FE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11E7"/>
  <w15:docId w15:val="{669761F4-E14D-4012-BFC0-F17E2652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rPr>
      <w:rFonts w:ascii="Arial" w:eastAsia="Times New Roman" w:hAnsi="Arial" w:cs="Times New Roman"/>
      <w:sz w:val="20"/>
      <w:szCs w:val="24"/>
    </w:rPr>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rPr>
      <w:rFonts w:ascii="Arial" w:eastAsia="Times New Roman" w:hAnsi="Arial" w:cs="Times New Roman"/>
      <w:sz w:val="20"/>
      <w:szCs w:val="24"/>
    </w:rPr>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rFonts w:ascii="Arial" w:eastAsia="Times New Roman" w:hAnsi="Arial" w:cs="Times New Roman"/>
      <w:b/>
      <w:bCs/>
      <w:sz w:val="20"/>
      <w:szCs w:val="20"/>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 w:type="table" w:styleId="MediumGrid3-Accent1">
    <w:name w:val="Medium Grid 3 Accent 1"/>
    <w:basedOn w:val="TableNormal"/>
    <w:uiPriority w:val="69"/>
    <w:rsid w:val="00A9712D"/>
    <w:pPr>
      <w:spacing w:after="0" w:line="240" w:lineRule="auto"/>
    </w:pPr>
    <w:rPr>
      <w:rFonts w:ascii="Cambria" w:eastAsia="Times New Roman" w:hAnsi="Cambria"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CHBody9pt">
    <w:name w:val="ICH_Body 9pt"/>
    <w:basedOn w:val="Normal"/>
    <w:uiPriority w:val="99"/>
    <w:rsid w:val="00054DB8"/>
    <w:pPr>
      <w:widowControl w:val="0"/>
      <w:tabs>
        <w:tab w:val="left" w:pos="454"/>
      </w:tabs>
      <w:suppressAutoHyphens/>
      <w:autoSpaceDE w:val="0"/>
      <w:autoSpaceDN w:val="0"/>
      <w:adjustRightInd w:val="0"/>
      <w:textAlignment w:val="center"/>
    </w:pPr>
    <w:rPr>
      <w:rFonts w:eastAsiaTheme="minorHAnsi" w:cs="DIN-Light"/>
      <w:szCs w:val="18"/>
      <w:lang w:val="en-US"/>
    </w:rPr>
  </w:style>
  <w:style w:type="table" w:customStyle="1" w:styleId="MediumGrid3-Accent11">
    <w:name w:val="Medium Grid 3 - Accent 11"/>
    <w:basedOn w:val="TableNormal"/>
    <w:next w:val="MediumGrid3-Accent1"/>
    <w:uiPriority w:val="69"/>
    <w:rsid w:val="003B7344"/>
    <w:pPr>
      <w:spacing w:after="0" w:line="240" w:lineRule="auto"/>
    </w:pPr>
    <w:rPr>
      <w:rFonts w:ascii="Cambria" w:eastAsia="Times New Roman" w:hAnsi="Cambria"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omwell.com.au/c12" TargetMode="External"/><Relationship Id="rId3" Type="http://schemas.openxmlformats.org/officeDocument/2006/relationships/settings" Target="settings.xml"/><Relationship Id="rId7" Type="http://schemas.openxmlformats.org/officeDocument/2006/relationships/hyperlink" Target="http://www.cromwell.com.au/C12"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omwell.com.au/c12" TargetMode="External"/><Relationship Id="rId4" Type="http://schemas.openxmlformats.org/officeDocument/2006/relationships/webSettings" Target="webSettings.xml"/><Relationship Id="rId9" Type="http://schemas.openxmlformats.org/officeDocument/2006/relationships/hyperlink" Target="http://www.cromwell.com.au/c12"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rdata01\home$\lbell\NRPortbl\worksite\LBELL\2749552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noFill/>
            </a:ln>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0F73-44B1-AB5E-4D960F0D5ABA}"/>
                </c:ext>
              </c:extLst>
            </c:dLbl>
            <c:dLbl>
              <c:idx val="4"/>
              <c:delete val="1"/>
              <c:extLst>
                <c:ext xmlns:c15="http://schemas.microsoft.com/office/drawing/2012/chart" uri="{CE6537A1-D6FC-4f65-9D91-7224C49458BB}"/>
                <c:ext xmlns:c16="http://schemas.microsoft.com/office/drawing/2014/chart" uri="{C3380CC4-5D6E-409C-BE32-E72D297353CC}">
                  <c16:uniqueId val="{00000001-0F73-44B1-AB5E-4D960F0D5A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FY16</c:v>
                </c:pt>
                <c:pt idx="1">
                  <c:v>FY17</c:v>
                </c:pt>
                <c:pt idx="2">
                  <c:v>FY18</c:v>
                </c:pt>
                <c:pt idx="3">
                  <c:v>FY19</c:v>
                </c:pt>
                <c:pt idx="4">
                  <c:v>FY20</c:v>
                </c:pt>
                <c:pt idx="5">
                  <c:v>Thereafter</c:v>
                </c:pt>
              </c:strCache>
            </c:strRef>
          </c:cat>
          <c:val>
            <c:numRef>
              <c:f>Sheet1!$B$2:$B$7</c:f>
              <c:numCache>
                <c:formatCode>General</c:formatCode>
                <c:ptCount val="6"/>
                <c:pt idx="3" formatCode="0%">
                  <c:v>0</c:v>
                </c:pt>
                <c:pt idx="4" formatCode="0%">
                  <c:v>0</c:v>
                </c:pt>
                <c:pt idx="5" formatCode="0%">
                  <c:v>1</c:v>
                </c:pt>
              </c:numCache>
            </c:numRef>
          </c:val>
          <c:extLst>
            <c:ext xmlns:c16="http://schemas.microsoft.com/office/drawing/2014/chart" uri="{C3380CC4-5D6E-409C-BE32-E72D297353CC}">
              <c16:uniqueId val="{00000002-0F73-44B1-AB5E-4D960F0D5ABA}"/>
            </c:ext>
          </c:extLst>
        </c:ser>
        <c:dLbls>
          <c:showLegendKey val="0"/>
          <c:showVal val="0"/>
          <c:showCatName val="0"/>
          <c:showSerName val="0"/>
          <c:showPercent val="0"/>
          <c:showBubbleSize val="0"/>
        </c:dLbls>
        <c:gapWidth val="150"/>
        <c:axId val="150373504"/>
        <c:axId val="151313408"/>
      </c:barChart>
      <c:catAx>
        <c:axId val="150373504"/>
        <c:scaling>
          <c:orientation val="minMax"/>
        </c:scaling>
        <c:delete val="0"/>
        <c:axPos val="b"/>
        <c:numFmt formatCode="General" sourceLinked="0"/>
        <c:majorTickMark val="out"/>
        <c:minorTickMark val="none"/>
        <c:tickLblPos val="nextTo"/>
        <c:crossAx val="151313408"/>
        <c:crosses val="autoZero"/>
        <c:auto val="1"/>
        <c:lblAlgn val="ctr"/>
        <c:lblOffset val="100"/>
        <c:noMultiLvlLbl val="0"/>
      </c:catAx>
      <c:valAx>
        <c:axId val="151313408"/>
        <c:scaling>
          <c:orientation val="minMax"/>
        </c:scaling>
        <c:delete val="0"/>
        <c:axPos val="l"/>
        <c:majorGridlines/>
        <c:numFmt formatCode="0%" sourceLinked="0"/>
        <c:majorTickMark val="out"/>
        <c:minorTickMark val="none"/>
        <c:tickLblPos val="nextTo"/>
        <c:crossAx val="1503735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Debt Expiry Profile </a:t>
            </a:r>
          </a:p>
        </c:rich>
      </c:tx>
      <c:overlay val="0"/>
    </c:title>
    <c:autoTitleDeleted val="0"/>
    <c:plotArea>
      <c:layout/>
      <c:barChart>
        <c:barDir val="col"/>
        <c:grouping val="clustered"/>
        <c:varyColors val="0"/>
        <c:ser>
          <c:idx val="0"/>
          <c:order val="0"/>
          <c:tx>
            <c:strRef>
              <c:f>DEBT_SCHEDULES!$M$39</c:f>
              <c:strCache>
                <c:ptCount val="1"/>
                <c:pt idx="0">
                  <c:v>Debt Expiring</c:v>
                </c:pt>
              </c:strCache>
            </c:strRef>
          </c:tx>
          <c:invertIfNegative val="0"/>
          <c:cat>
            <c:numRef>
              <c:f>DEBT_SCHEDULES!$L$40:$L$47</c:f>
              <c:numCache>
                <c:formatCode>General</c:formatCode>
                <c:ptCount val="8"/>
                <c:pt idx="0">
                  <c:v>2016</c:v>
                </c:pt>
                <c:pt idx="1">
                  <c:v>2017</c:v>
                </c:pt>
                <c:pt idx="2">
                  <c:v>2018</c:v>
                </c:pt>
                <c:pt idx="3">
                  <c:v>2019</c:v>
                </c:pt>
                <c:pt idx="4">
                  <c:v>2020</c:v>
                </c:pt>
                <c:pt idx="5">
                  <c:v>2021</c:v>
                </c:pt>
                <c:pt idx="6">
                  <c:v>2022</c:v>
                </c:pt>
                <c:pt idx="7">
                  <c:v>2023</c:v>
                </c:pt>
              </c:numCache>
            </c:numRef>
          </c:cat>
          <c:val>
            <c:numRef>
              <c:f>DEBT_SCHEDULES!$M$40:$M$47</c:f>
              <c:numCache>
                <c:formatCode>#,##0;\(#,##0\)</c:formatCode>
                <c:ptCount val="8"/>
                <c:pt idx="0">
                  <c:v>0</c:v>
                </c:pt>
                <c:pt idx="1">
                  <c:v>0</c:v>
                </c:pt>
                <c:pt idx="2">
                  <c:v>0</c:v>
                </c:pt>
                <c:pt idx="3">
                  <c:v>0</c:v>
                </c:pt>
                <c:pt idx="4">
                  <c:v>0</c:v>
                </c:pt>
                <c:pt idx="5">
                  <c:v>41000000</c:v>
                </c:pt>
                <c:pt idx="6">
                  <c:v>0</c:v>
                </c:pt>
                <c:pt idx="7">
                  <c:v>0</c:v>
                </c:pt>
              </c:numCache>
            </c:numRef>
          </c:val>
          <c:extLst>
            <c:ext xmlns:c16="http://schemas.microsoft.com/office/drawing/2014/chart" uri="{C3380CC4-5D6E-409C-BE32-E72D297353CC}">
              <c16:uniqueId val="{00000000-8466-4EBF-8398-DA06EEC75F91}"/>
            </c:ext>
          </c:extLst>
        </c:ser>
        <c:dLbls>
          <c:showLegendKey val="0"/>
          <c:showVal val="0"/>
          <c:showCatName val="0"/>
          <c:showSerName val="0"/>
          <c:showPercent val="0"/>
          <c:showBubbleSize val="0"/>
        </c:dLbls>
        <c:gapWidth val="150"/>
        <c:axId val="371324416"/>
        <c:axId val="371325952"/>
      </c:barChart>
      <c:catAx>
        <c:axId val="371324416"/>
        <c:scaling>
          <c:orientation val="minMax"/>
        </c:scaling>
        <c:delete val="0"/>
        <c:axPos val="b"/>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371325952"/>
        <c:crosses val="autoZero"/>
        <c:auto val="1"/>
        <c:lblAlgn val="ctr"/>
        <c:lblOffset val="100"/>
        <c:noMultiLvlLbl val="0"/>
      </c:catAx>
      <c:valAx>
        <c:axId val="371325952"/>
        <c:scaling>
          <c:orientation val="minMax"/>
        </c:scaling>
        <c:delete val="0"/>
        <c:axPos val="l"/>
        <c:majorGridlines/>
        <c:numFmt formatCode="#,##0;\(#,##0\)" sourceLinked="1"/>
        <c:majorTickMark val="out"/>
        <c:minorTickMark val="none"/>
        <c:tickLblPos val="nextTo"/>
        <c:txPr>
          <a:bodyPr/>
          <a:lstStyle/>
          <a:p>
            <a:pPr>
              <a:defRPr>
                <a:latin typeface="Arial" pitchFamily="34" charset="0"/>
                <a:cs typeface="Arial" pitchFamily="34" charset="0"/>
              </a:defRPr>
            </a:pPr>
            <a:endParaRPr lang="en-US"/>
          </a:p>
        </c:txPr>
        <c:crossAx val="371324416"/>
        <c:crosses val="autoZero"/>
        <c:crossBetween val="between"/>
      </c:valAx>
    </c:plotArea>
    <c:legend>
      <c:legendPos val="b"/>
      <c:overlay val="0"/>
      <c:txPr>
        <a:bodyPr/>
        <a:lstStyle/>
        <a:p>
          <a:pPr>
            <a:defRPr>
              <a:latin typeface="Arial" pitchFamily="34" charset="0"/>
              <a:cs typeface="Arial" pitchFamily="34" charset="0"/>
            </a:defRPr>
          </a:pPr>
          <a:endParaRPr lang="en-US"/>
        </a:p>
      </c:txPr>
    </c:legend>
    <c:plotVisOnly val="1"/>
    <c:dispBlanksAs val="gap"/>
    <c:showDLblsOverMax val="0"/>
  </c:chart>
  <c:spPr>
    <a:solidFill>
      <a:schemeClr val="bg1"/>
    </a:solidFill>
    <a:ln w="25400">
      <a:solidFill>
        <a:sysClr val="windowText" lastClr="000000">
          <a:alpha val="90000"/>
        </a:sys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3D66B092</Template>
  <TotalTime>1</TotalTime>
  <Pages>8</Pages>
  <Words>3120</Words>
  <Characters>16454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Matthew Stewart</cp:lastModifiedBy>
  <cp:revision>4</cp:revision>
  <cp:lastPrinted>2016-03-21T05:04:00Z</cp:lastPrinted>
  <dcterms:created xsi:type="dcterms:W3CDTF">2016-11-10T01:07:00Z</dcterms:created>
  <dcterms:modified xsi:type="dcterms:W3CDTF">2016-11-10T01:10:00Z</dcterms:modified>
</cp:coreProperties>
</file>